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500" w:lineRule="exact"/>
        <w:jc w:val="center"/>
        <w:rPr>
          <w:rFonts w:ascii="黑体" w:hAnsi="黑体" w:eastAsia="黑体"/>
          <w:color w:val="000000"/>
          <w:sz w:val="40"/>
          <w:szCs w:val="40"/>
        </w:rPr>
      </w:pPr>
      <w:bookmarkStart w:id="0" w:name="_GoBack"/>
      <w:bookmarkEnd w:id="0"/>
      <w:r>
        <w:rPr>
          <w:rFonts w:ascii="黑体" w:hAnsi="黑体" w:eastAsia="黑体"/>
          <w:b/>
          <w:bCs/>
          <w:color w:val="000000"/>
          <w:sz w:val="40"/>
          <w:szCs w:val="40"/>
        </w:rPr>
        <w:t>院务</w:t>
      </w:r>
      <w:r>
        <w:rPr>
          <w:rFonts w:ascii="黑体" w:hAnsi="黑体" w:eastAsia="黑体"/>
          <w:b/>
          <w:bCs/>
          <w:color w:val="000000"/>
          <w:kern w:val="0"/>
          <w:sz w:val="40"/>
          <w:szCs w:val="40"/>
        </w:rPr>
        <w:t>部本周主要工作和活动安排</w:t>
      </w:r>
    </w:p>
    <w:p>
      <w:pPr>
        <w:snapToGrid w:val="0"/>
        <w:spacing w:before="0" w:after="0" w:line="500" w:lineRule="exact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</w:t>
      </w:r>
      <w:r>
        <w:rPr>
          <w:rFonts w:ascii="黑体" w:hAnsi="黑体" w:eastAsia="黑体"/>
          <w:color w:val="000000"/>
          <w:sz w:val="36"/>
          <w:szCs w:val="36"/>
        </w:rPr>
        <w:t>2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2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</w:t>
      </w:r>
      <w:r>
        <w:rPr>
          <w:rFonts w:ascii="黑体" w:hAnsi="黑体" w:eastAsia="黑体"/>
          <w:color w:val="000000"/>
          <w:sz w:val="36"/>
          <w:szCs w:val="36"/>
        </w:rPr>
        <w:t>2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2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25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napToGrid w:val="0"/>
        <w:spacing w:before="0" w:after="0" w:line="5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napToGrid w:val="0"/>
        <w:spacing w:before="0" w:after="0" w:line="360" w:lineRule="exact"/>
        <w:ind w:firstLineChars="150"/>
        <w:jc w:val="left"/>
        <w:rPr>
          <w:rFonts w:ascii="宋体" w:hAnsi="宋体" w:eastAsia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sz w:val="32"/>
          <w:szCs w:val="32"/>
        </w:rPr>
        <w:t xml:space="preserve">               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</w:t>
      </w:r>
      <w:r>
        <w:rPr>
          <w:rFonts w:ascii="宋体" w:hAnsi="宋体" w:eastAsia="宋体"/>
          <w:color w:val="000000"/>
          <w:sz w:val="24"/>
          <w:szCs w:val="24"/>
        </w:rPr>
        <w:t xml:space="preserve">                 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-202</w:t>
      </w:r>
      <w:r>
        <w:rPr>
          <w:rFonts w:ascii="黑体" w:hAnsi="黑体" w:eastAsia="黑体"/>
          <w:color w:val="000000"/>
          <w:sz w:val="36"/>
          <w:szCs w:val="36"/>
        </w:rPr>
        <w:t>2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学年第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二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学期</w:t>
      </w:r>
      <w:r>
        <w:rPr>
          <w:rFonts w:ascii="Calibri" w:hAnsi="Calibri" w:eastAsia="Calibri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一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90"/>
        <w:gridCol w:w="1245"/>
        <w:gridCol w:w="6480"/>
        <w:gridCol w:w="1305"/>
        <w:gridCol w:w="313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制作中层干部专题研讨会资料汇编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学校重点工作意见收集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ind w:left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各二级学院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完成学校五育工作总结汇编排版印发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做好学校2021年收文、发文归档，待呈交档案室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做好部门核酸检测人员统计工作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完成全员核酸检测，配合做好中高风险重点人群返校隔离工作。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组织校园安全大检查，排查校园隐患。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去安工大调研国旗护卫队建设情况。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ind w:firstLine="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西门建设和交通管理规划。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丁香路开设新大门协调工作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接待、沟通、处理学生开学工作学习中产生的各类问题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帮助学生补办饭卡，修改教务系统密码，处理门禁刷不开，补办学生证考试证，学生宿舍报修等各类服务中心常规服务项目。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利用官方QQ为学生解决疑惑和困难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        更换装订往年有破损的档案封面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迎新、教师上课、行政用车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做好日常接待，会务工作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</w:tbl>
    <w:p/>
    <w:sectPr>
      <w:pgSz w:w="16839" w:h="11907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41674D7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花江花树</cp:lastModifiedBy>
  <dcterms:modified xsi:type="dcterms:W3CDTF">2022-02-22T08:59:08Z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C30EFEC509D041758153501C2DDF68B2</vt:lpwstr>
  </property>
</Properties>
</file>