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16"/>
        <w:gridCol w:w="1462"/>
        <w:gridCol w:w="397"/>
        <w:gridCol w:w="6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sz w:val="44"/>
                <w:szCs w:val="44"/>
                <w:lang w:val="en-US" w:eastAsia="zh-CN" w:bidi="ar"/>
              </w:rPr>
              <w:t>皖江工学院2024年人才需求计划表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硕士研究生及以上学历；财务管理相关专业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硕士研究生及以上学历；国际经济与贸易相关专业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硕士研究生及以上学历；会计学相关专业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硕士研究生及以上学历；工程管理及相关专业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硕士研究生及以上学历；工程造价及相关专业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健康服务与管理专业教师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硕士研究生及以上学历；健康服务与管理相关专业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硕士研究生及以上学历；酒店管理及相关专业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硕士研究生及以上学历；人力资源管理专业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硕士研究生及以上学历；信息管理与信息系统、计算机类相关专业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硕士研究生及以上学历；机械工程相关专业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硕士研究生及以上学历；车辆类相关专业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硕士研究生及以上学历；能源动力类相关专业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汽车服务工程专业教师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硕士研究生及以上学历；汽车服务、车辆类相关专业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硕士研究生及以上学历；新能源科学与工程、能源动力类相关专业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硕士研究生及以上学历；电气工程、电力系统、电力电子、电力传动等相关专业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硕士研究生及以上学历；计算机科学与技术、软件工程及相关专业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硕士研究生及以上学历；控制理论与控制工程及相关专业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硕士研究生及以上学历；计算机、人工智能及相关专业（计算机视觉、语音识别、自然语言处理，有机器学习相关项目经验优先）、应用统计专业（大数据分析方向）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土木工程专业教师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硕士研究生及以上学历；土木工程、力学专业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硕士研究生及以上学历；测绘工程专业，GIS、测量方向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硕士研究生及以上学历；地质工程及相关专业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硕士研究生及以上学历；交通规划、智能交通方向相关专业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给排水科学与工程专业教师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硕士研究生及以上学历；市政工程、环境工程及相关专业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硕士研究生及以上学历；安全工程、消防工程及相关专业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硕士研究生及以上学历；水利水电工程及相关专业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港口航道与海岸工程专业教师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硕士研究生及以上学历；港口航道与海岸工程及相关专业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水文与水资源工程专业教师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硕士研究生及以上学历；水文与水资源工程及相关专业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水务工程专业教师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硕士研究生及以上学历；水务工程、水文与水资源工程、农业水土工程、水利水电工程及相关专业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硕士研究生及以上学历；本科为农业资源，硕士为农业资源与环境专业、环境工程及相关专业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硕士研究生及以上学历；数字媒体艺术、影视、动画专业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硕士研究生及以上学历；本硕均为英语专业，有专业八级证书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硕士研究生及以上学历；数学专业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理化教师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硕士研究生及以上学历；物理、化学专业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硕士研究生及以上学历；体育教育训练专业，足球、排球、体育舞蹈、健美操、武术优先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硕士及以上学历；中共党员；政治学、马克思主义理论相关专业；本硕专业一致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硕士研究生及以上学历；中共党员，心理学、思政或与我校现有开设专业相一致专业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教辅岗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硕士研究生及以上学历；水利类、土木类、电气类、机械类相关专业</w:t>
            </w:r>
          </w:p>
        </w:tc>
      </w:tr>
    </w:tbl>
    <w:p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134" w:right="1417" w:bottom="1134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TVhMzA2NzVkM2Q2MWY4MjJjZjA2OWUwODQ5NTAifQ=="/>
  </w:docVars>
  <w:rsids>
    <w:rsidRoot w:val="00000000"/>
    <w:rsid w:val="327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2023-12-20T00:42:03Z</dcterms:created>
  <dc:creator>Administrator</dc:creator>
  <cp:lastModifiedBy>Daisy.Huang</cp:lastModifiedBy>
  <dcterms:modified xsi:type="dcterms:W3CDTF">2023-12-20T00:42:09Z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4DB59CA39B29459A9526CD279611B117_12</vt:lpwstr>
  </property>
</Properties>
</file>