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5"/>
          <w:rFonts w:hint="eastAsia" w:ascii="微软雅黑" w:hAnsi="微软雅黑" w:eastAsia="微软雅黑" w:cs="微软雅黑"/>
          <w:b/>
          <w:i w:val="0"/>
          <w:caps w:val="0"/>
          <w:color w:val="222222"/>
          <w:spacing w:val="0"/>
          <w:kern w:val="0"/>
          <w:sz w:val="24"/>
          <w:szCs w:val="24"/>
          <w:u w:val="none"/>
          <w:shd w:val="clear" w:fill="FFFFFF"/>
          <w:lang w:val="en-US" w:eastAsia="zh-CN" w:bidi="ar"/>
        </w:rPr>
      </w:pPr>
      <w:r>
        <w:rPr>
          <w:rStyle w:val="5"/>
          <w:rFonts w:hint="eastAsia" w:ascii="微软雅黑" w:hAnsi="微软雅黑" w:eastAsia="微软雅黑" w:cs="微软雅黑"/>
          <w:b/>
          <w:i w:val="0"/>
          <w:caps w:val="0"/>
          <w:color w:val="222222"/>
          <w:spacing w:val="0"/>
          <w:kern w:val="0"/>
          <w:sz w:val="24"/>
          <w:szCs w:val="24"/>
          <w:u w:val="none"/>
          <w:shd w:val="clear" w:fill="FFFFFF"/>
          <w:lang w:val="en-US" w:eastAsia="zh-CN" w:bidi="ar"/>
        </w:rPr>
        <w:t>皖江工学院2024年专升本考试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5"/>
          <w:rFonts w:hint="eastAsia" w:ascii="微软雅黑" w:hAnsi="微软雅黑" w:eastAsia="微软雅黑" w:cs="微软雅黑"/>
          <w:b/>
          <w:i w:val="0"/>
          <w:caps w:val="0"/>
          <w:color w:val="222222"/>
          <w:spacing w:val="0"/>
          <w:kern w:val="0"/>
          <w:sz w:val="24"/>
          <w:szCs w:val="24"/>
          <w:u w:val="none"/>
          <w:shd w:val="clear" w:fill="FFFFFF"/>
          <w:lang w:val="en-US" w:eastAsia="zh-CN" w:bidi="ar"/>
        </w:rPr>
      </w:pPr>
      <w:r>
        <w:rPr>
          <w:rStyle w:val="5"/>
          <w:rFonts w:hint="eastAsia" w:ascii="微软雅黑" w:hAnsi="微软雅黑" w:eastAsia="微软雅黑" w:cs="微软雅黑"/>
          <w:b/>
          <w:i w:val="0"/>
          <w:caps w:val="0"/>
          <w:color w:val="222222"/>
          <w:spacing w:val="0"/>
          <w:kern w:val="0"/>
          <w:sz w:val="24"/>
          <w:szCs w:val="24"/>
          <w:u w:val="none"/>
          <w:shd w:val="clear" w:fill="FFFFFF"/>
          <w:lang w:val="en-US" w:eastAsia="zh-CN" w:bidi="ar"/>
        </w:rPr>
        <w:t>《旅游学概论》考试大纲</w:t>
      </w:r>
    </w:p>
    <w:p>
      <w:pPr>
        <w:spacing w:line="0" w:lineRule="atLeast"/>
        <w:ind w:firstLine="640" w:firstLineChars="200"/>
        <w:jc w:val="left"/>
        <w:rPr>
          <w:rFonts w:hint="eastAsia" w:ascii="方正仿宋_GBK" w:eastAsia="方正仿宋_GBK"/>
          <w:sz w:val="32"/>
          <w:szCs w:val="32"/>
          <w:lang w:eastAsia="zh-CN"/>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一、总纲</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旅游学概论》考试是酒店管理专业专升本招生考试专业课考试科目之一，考试对象为报考我校酒店管理专业的考生。为贯彻落实党中央国务院关于做好高校毕业生就业工作有关精神和国务院常务会议提出的扩大普通专升本规模要求，按照教育部部署和要求，根据《安徽省2024</w:t>
      </w:r>
      <w:bookmarkStart w:id="2" w:name="_GoBack"/>
      <w:bookmarkEnd w:id="2"/>
      <w:r>
        <w:rPr>
          <w:rFonts w:hint="eastAsia" w:ascii="仿宋" w:hAnsi="仿宋" w:eastAsia="仿宋" w:cs="仿宋"/>
          <w:i w:val="0"/>
          <w:caps w:val="0"/>
          <w:color w:val="auto"/>
          <w:spacing w:val="0"/>
          <w:kern w:val="2"/>
          <w:sz w:val="28"/>
          <w:szCs w:val="28"/>
          <w:shd w:val="clear" w:fill="FFFFFF"/>
          <w:lang w:val="en-US" w:eastAsia="zh-CN" w:bidi="ar-SA"/>
        </w:rPr>
        <w:t>年普通高校专升本考试招生工作操作办法》文件精神，特制定本科目考试大纲。大纲制定力求反映本专业招生类型的特点，科学、公平、准确、规范地测评考生考生对旅游学概论中基本概念、基本原理的掌握情况以及运用基础理论解决问题的能力，考查考生分析问题及综合知识运用的能力。考生可根据本大纲的内容和要求自行学习相关内容和掌握有关知识。考试采用笔试的方式进行（免笔试学生须参加面试），考试时间为120分钟。</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本大纲由皖江工学院</w:t>
      </w:r>
      <w:r>
        <w:rPr>
          <w:rFonts w:hint="eastAsia" w:ascii="仿宋" w:hAnsi="仿宋" w:eastAsia="仿宋" w:cs="仿宋"/>
          <w:i w:val="0"/>
          <w:caps w:val="0"/>
          <w:color w:val="auto"/>
          <w:spacing w:val="0"/>
          <w:kern w:val="2"/>
          <w:sz w:val="28"/>
          <w:szCs w:val="28"/>
          <w:highlight w:val="none"/>
          <w:shd w:val="clear" w:fill="FFFFFF"/>
          <w:lang w:val="en-US" w:eastAsia="zh-CN" w:bidi="ar-SA"/>
        </w:rPr>
        <w:t>管理学院</w:t>
      </w:r>
      <w:r>
        <w:rPr>
          <w:rFonts w:hint="eastAsia" w:ascii="仿宋" w:hAnsi="仿宋" w:eastAsia="仿宋" w:cs="仿宋"/>
          <w:i w:val="0"/>
          <w:caps w:val="0"/>
          <w:color w:val="auto"/>
          <w:spacing w:val="0"/>
          <w:kern w:val="2"/>
          <w:sz w:val="28"/>
          <w:szCs w:val="28"/>
          <w:shd w:val="clear" w:fill="FFFFFF"/>
          <w:lang w:val="en-US" w:eastAsia="zh-CN" w:bidi="ar-SA"/>
        </w:rPr>
        <w:t>负责解释。</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二、考核目标与要求</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考核考生对旅游业、旅游活动的特点、旅游行业的构成、旅游活动发展状况的衡量指标和统计方法、旅游资源调查的方法步骤等知识掌握水平，熟悉旅游产品设计以及各类旅游企业的业务范畴、旅游市场细分的基本方法、分析旅游客流特点等，考察考生分析问题、解决问题及综合知识运用能力。</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要求考生理解和掌握旅游学概论中的基本概念、特点、基本理论以及运用基础理论解决旅游业发展过程中存在的问题。</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三、考试范围与要求</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第1章 旅游活动</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（1）旅游学科发展概况（重点）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（2）世界旅游组织关于旅游活动的定义（次重点）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（3）旅游活动的移动性、异地性与暂居性（重点）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（4）泛旅游活动的意义（一般）</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（5）现代旅游的产生和发展过程（次重点）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（6）现代旅游业形成的标志性事件（次重点）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（7）旅游活动的经济、环境和社会文化影响（重点）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第2章 访客与旅游需求</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（1）访客、旅游者的定义（重点）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（2）旅游者身份识别的主要视角（次重点）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（3）旅游需求和旅游动机的定义（重点）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（4）旅游者动机类型和影响因素（重点）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（5）行前决策、现场体验、事后评估三个阶段的行为特征（次重点）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第3章 旅游产品与供给</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（1）旅游产品的概念与特征（重点）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（2）旅游产品分类（次重点）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（3）观光益智、休闲度假、商务会展等旅游产品的概念及特征（次重点）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（4）旅游产品供给体系特征（重点）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（5）旅游业的性质与行业体系（一般）</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第4章 观光与度假吸引物</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（1）旅游资源的定义与分类（重点）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（2）旅游吸引物的定义和类型（次重点）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（3）观光型吸引物和度假型吸引物的主要类别（重点）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第5章 商务·会展与节事活动</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w:t>
      </w:r>
      <w:bookmarkStart w:id="0" w:name="_Hlk51015520"/>
      <w:r>
        <w:rPr>
          <w:rFonts w:hint="eastAsia" w:ascii="仿宋" w:hAnsi="仿宋" w:eastAsia="仿宋" w:cs="仿宋"/>
          <w:i w:val="0"/>
          <w:caps w:val="0"/>
          <w:color w:val="auto"/>
          <w:spacing w:val="0"/>
          <w:kern w:val="2"/>
          <w:sz w:val="28"/>
          <w:szCs w:val="28"/>
          <w:shd w:val="clear" w:fill="FFFFFF"/>
          <w:lang w:val="en-US" w:eastAsia="zh-CN" w:bidi="ar-SA"/>
        </w:rPr>
        <w:t>商务旅游的定义（重点）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（2）会展、节事与旅游业的关系（重点）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（3）会展的概念、特征与分类（次重点）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（4）会展业组织与管理（次重点）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（5）旅游节事的概念、分类和特点（重点）</w:t>
      </w:r>
    </w:p>
    <w:bookmarkEnd w:id="0"/>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第6章 旅游目的地与旅游城市</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（1）旅游目的地的定义（重点）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（2）城市型目的地和景区型目的地的特点（重点）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（3）城市的旅游与游憩功能（一般）</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（4）旅游城市的类型（次重点）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（5）旅游目的地营销的概念（重点）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（6）目的地营销组织和目的地营销系统（次重点）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第7章 移动性与旅游交通</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（1）人类旅行与移动性的含义（次重点）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（2）旅游移动性的影响因素（一般）</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（3）现代大众旅行方式与旅游交通的功能（重点）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（4）旅游交通系统和交通服务（重点）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第8章 旅游中介服务</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（1）旅游中介服务的概念（重点）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（2）旅游产品的分销渠道、旅游经营商和旅游代理商的分工（重点）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（3）团队包价旅游及质量控制（次重点）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（4）商务旅游中介服务（一般）</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（5）信息技术对旅游中介服务的影响（次重点）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第9章 旅游接待服务</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（1）旅游接待业的概念和功能（重点）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w:t>
      </w:r>
      <w:bookmarkStart w:id="1" w:name="_Hlk51016190"/>
      <w:r>
        <w:rPr>
          <w:rFonts w:hint="eastAsia" w:ascii="仿宋" w:hAnsi="仿宋" w:eastAsia="仿宋" w:cs="仿宋"/>
          <w:i w:val="0"/>
          <w:caps w:val="0"/>
          <w:color w:val="auto"/>
          <w:spacing w:val="0"/>
          <w:kern w:val="2"/>
          <w:sz w:val="28"/>
          <w:szCs w:val="28"/>
          <w:shd w:val="clear" w:fill="FFFFFF"/>
          <w:lang w:val="en-US" w:eastAsia="zh-CN" w:bidi="ar-SA"/>
        </w:rPr>
        <w:t>酒店的等级划分和评定标准</w:t>
      </w:r>
      <w:bookmarkEnd w:id="1"/>
      <w:r>
        <w:rPr>
          <w:rFonts w:hint="eastAsia" w:ascii="仿宋" w:hAnsi="仿宋" w:eastAsia="仿宋" w:cs="仿宋"/>
          <w:i w:val="0"/>
          <w:caps w:val="0"/>
          <w:color w:val="auto"/>
          <w:spacing w:val="0"/>
          <w:kern w:val="2"/>
          <w:sz w:val="28"/>
          <w:szCs w:val="28"/>
          <w:shd w:val="clear" w:fill="FFFFFF"/>
          <w:lang w:val="en-US" w:eastAsia="zh-CN" w:bidi="ar-SA"/>
        </w:rPr>
        <w:t>（重点）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（3）旅游接待设施与服务分类（一般）</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（4）无限服务型、有限服务型酒店的特点（重点）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（5）旅游接待业经营管理的特征和内容（次重点）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第10章 旅游支持行业</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（1）餐饮业、零售业、娱乐业、信息业、金融业、保险业、房地产业装备制造业等行业与旅游业的关系（重点）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（2）旅游餐饮与美食旅游、旅游购物与购物旅游、旅游娱乐与娱乐旅游之间的联系和区别（一般）</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（3）旅游信息服务的基本内涵</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第11章 旅游公共管理</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（1）旅游产品的公共性、旅游公共组织与旅游危机管理（次重点）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（2）旅游立法与政府管理、旅游政策的概念和作用（重点）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（3）公共资源管理与旅游发展规划（重点）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（4）旅游公共环境问题和旅游生态保障措施（次重点）</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四、考试教材与参考书</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1．教材：</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吴必虎,黄潇婷等,编著，《旅游学概论》（第3版），北京:中国人民大学出版社, 2019</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2．参考书：</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闻芳，杨辉 编 《旅游学概论》第一版，江苏大学出版社，2018年</w:t>
      </w:r>
    </w:p>
    <w:p>
      <w:pPr>
        <w:spacing w:line="0" w:lineRule="atLeast"/>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480" w:firstLineChars="200"/>
        <w:jc w:val="left"/>
        <w:rPr>
          <w:rFonts w:hint="eastAsia" w:ascii="微软雅黑" w:hAnsi="微软雅黑" w:eastAsia="微软雅黑" w:cs="微软雅黑"/>
          <w:i w:val="0"/>
          <w:caps w:val="0"/>
          <w:color w:val="555555"/>
          <w:spacing w:val="0"/>
          <w:kern w:val="2"/>
          <w:sz w:val="24"/>
          <w:szCs w:val="24"/>
          <w:shd w:val="clear" w:fill="FFFFFF"/>
          <w:lang w:val="en-US" w:eastAsia="zh-CN" w:bidi="ar-SA"/>
        </w:rPr>
      </w:pPr>
    </w:p>
    <w:p>
      <w:pPr>
        <w:spacing w:line="0" w:lineRule="atLeast"/>
        <w:ind w:firstLine="480" w:firstLineChars="200"/>
        <w:jc w:val="left"/>
        <w:rPr>
          <w:rFonts w:hint="eastAsia" w:ascii="微软雅黑" w:hAnsi="微软雅黑" w:eastAsia="微软雅黑" w:cs="微软雅黑"/>
          <w:i w:val="0"/>
          <w:caps w:val="0"/>
          <w:color w:val="555555"/>
          <w:spacing w:val="0"/>
          <w:kern w:val="2"/>
          <w:sz w:val="24"/>
          <w:szCs w:val="24"/>
          <w:shd w:val="clear" w:fill="FFFFFF"/>
          <w:lang w:val="en-US" w:eastAsia="zh-CN" w:bidi="ar-SA"/>
        </w:rPr>
      </w:pPr>
    </w:p>
    <w:p>
      <w:pPr>
        <w:spacing w:line="0" w:lineRule="atLeast"/>
        <w:ind w:firstLine="480" w:firstLineChars="200"/>
        <w:jc w:val="left"/>
        <w:rPr>
          <w:rFonts w:hint="eastAsia" w:ascii="微软雅黑" w:hAnsi="微软雅黑" w:eastAsia="微软雅黑" w:cs="微软雅黑"/>
          <w:i w:val="0"/>
          <w:caps w:val="0"/>
          <w:color w:val="555555"/>
          <w:spacing w:val="0"/>
          <w:kern w:val="2"/>
          <w:sz w:val="24"/>
          <w:szCs w:val="24"/>
          <w:shd w:val="clear" w:fill="FFFFFF"/>
          <w:lang w:val="en-US" w:eastAsia="zh-CN" w:bidi="ar-SA"/>
        </w:rPr>
      </w:pPr>
    </w:p>
    <w:p>
      <w:pPr>
        <w:spacing w:line="0" w:lineRule="atLeast"/>
        <w:ind w:firstLine="480" w:firstLineChars="200"/>
        <w:jc w:val="left"/>
        <w:rPr>
          <w:rFonts w:hint="eastAsia" w:ascii="微软雅黑" w:hAnsi="微软雅黑" w:eastAsia="微软雅黑" w:cs="微软雅黑"/>
          <w:i w:val="0"/>
          <w:caps w:val="0"/>
          <w:color w:val="555555"/>
          <w:spacing w:val="0"/>
          <w:kern w:val="2"/>
          <w:sz w:val="24"/>
          <w:szCs w:val="24"/>
          <w:shd w:val="clear" w:fill="FFFFFF"/>
          <w:lang w:val="en-US" w:eastAsia="zh-CN" w:bidi="ar-SA"/>
        </w:rPr>
      </w:pPr>
    </w:p>
    <w:p>
      <w:pPr>
        <w:spacing w:line="0" w:lineRule="atLeast"/>
        <w:ind w:firstLine="480" w:firstLineChars="200"/>
        <w:jc w:val="left"/>
        <w:rPr>
          <w:rFonts w:hint="eastAsia" w:ascii="微软雅黑" w:hAnsi="微软雅黑" w:eastAsia="微软雅黑" w:cs="微软雅黑"/>
          <w:i w:val="0"/>
          <w:caps w:val="0"/>
          <w:color w:val="555555"/>
          <w:spacing w:val="0"/>
          <w:kern w:val="2"/>
          <w:sz w:val="24"/>
          <w:szCs w:val="24"/>
          <w:shd w:val="clear" w:fill="FFFFFF"/>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ODhlYWJiMThlMDJhNTE0OGU3NzlkNzg3OGZmZjIifQ=="/>
  </w:docVars>
  <w:rsids>
    <w:rsidRoot w:val="40CE5CD7"/>
    <w:rsid w:val="055E1D8A"/>
    <w:rsid w:val="0A0B0691"/>
    <w:rsid w:val="115B4F49"/>
    <w:rsid w:val="134852BD"/>
    <w:rsid w:val="13926498"/>
    <w:rsid w:val="1D2206F7"/>
    <w:rsid w:val="1DEA75BE"/>
    <w:rsid w:val="1FEF447A"/>
    <w:rsid w:val="20B424E4"/>
    <w:rsid w:val="25AA1B8B"/>
    <w:rsid w:val="290E626F"/>
    <w:rsid w:val="2CDD74C8"/>
    <w:rsid w:val="2E62460A"/>
    <w:rsid w:val="32C566F9"/>
    <w:rsid w:val="3565070D"/>
    <w:rsid w:val="362B2A5B"/>
    <w:rsid w:val="3B7B3FE0"/>
    <w:rsid w:val="3EC226E5"/>
    <w:rsid w:val="40CE5CD7"/>
    <w:rsid w:val="417D0926"/>
    <w:rsid w:val="456B6028"/>
    <w:rsid w:val="4E0538F2"/>
    <w:rsid w:val="50824DDD"/>
    <w:rsid w:val="5BF61600"/>
    <w:rsid w:val="62AB1AE4"/>
    <w:rsid w:val="68FA491A"/>
    <w:rsid w:val="6AC534B8"/>
    <w:rsid w:val="6B796B16"/>
    <w:rsid w:val="6C617DC7"/>
    <w:rsid w:val="704165E1"/>
    <w:rsid w:val="7265370D"/>
    <w:rsid w:val="78553469"/>
    <w:rsid w:val="7A943476"/>
    <w:rsid w:val="7D3B4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1983</Words>
  <Characters>1999</Characters>
  <Lines>0</Lines>
  <Paragraphs>0</Paragraphs>
  <TotalTime>4</TotalTime>
  <ScaleCrop>false</ScaleCrop>
  <LinksUpToDate>false</LinksUpToDate>
  <CharactersWithSpaces>2013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2020-04-14T07:53:00Z</dcterms:created>
  <dc:creator>立秋</dc:creator>
  <cp:lastModifiedBy>三水君</cp:lastModifiedBy>
  <dcterms:modified xsi:type="dcterms:W3CDTF">2024-03-22T01:27:40Z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8B9A49801603432ABE141B19249731FA</vt:lpwstr>
  </property>
</Properties>
</file>