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黑体" w:hAnsi="黑体" w:eastAsia="黑体" w:cs="黑体"/>
          <w:sz w:val="32"/>
          <w:szCs w:val="32"/>
          <w:lang w:val="en-US" w:eastAsia="zh-CN"/>
        </w:rPr>
      </w:pPr>
    </w:p>
    <w:p>
      <w:pPr>
        <w:jc w:val="center"/>
        <w:rPr>
          <w:rFonts w:hint="eastAsia" w:ascii="黑体" w:hAnsi="黑体" w:eastAsia="黑体" w:cs="黑体"/>
          <w:sz w:val="32"/>
          <w:szCs w:val="32"/>
          <w:lang w:val="en-US" w:eastAsia="zh-CN"/>
        </w:rPr>
      </w:pPr>
    </w:p>
    <w:p>
      <w:pPr>
        <w:jc w:val="center"/>
        <w:rPr>
          <w:rFonts w:hint="eastAsia" w:ascii="黑体" w:hAnsi="黑体" w:eastAsia="黑体" w:cs="黑体"/>
          <w:sz w:val="32"/>
          <w:szCs w:val="32"/>
          <w:lang w:val="en-US" w:eastAsia="zh-CN"/>
        </w:rPr>
      </w:pPr>
    </w:p>
    <w:p>
      <w:pPr>
        <w:jc w:val="center"/>
        <w:rPr>
          <w:rFonts w:hint="eastAsia" w:ascii="黑体" w:hAnsi="黑体" w:eastAsia="黑体" w:cs="黑体"/>
          <w:sz w:val="32"/>
          <w:szCs w:val="32"/>
          <w:lang w:val="en-US" w:eastAsia="zh-CN"/>
        </w:rPr>
      </w:pPr>
    </w:p>
    <w:p>
      <w:pPr>
        <w:jc w:val="center"/>
        <w:rPr>
          <w:rFonts w:hint="eastAsia" w:ascii="黑体" w:hAnsi="黑体" w:eastAsia="黑体" w:cs="黑体"/>
          <w:sz w:val="32"/>
          <w:szCs w:val="32"/>
          <w:lang w:val="en-US" w:eastAsia="zh-CN"/>
        </w:rPr>
      </w:pPr>
    </w:p>
    <w:p>
      <w:pPr>
        <w:jc w:val="center"/>
        <w:rPr>
          <w:rFonts w:hint="eastAsia" w:ascii="黑体" w:hAnsi="黑体" w:eastAsia="黑体" w:cs="黑体"/>
          <w:sz w:val="32"/>
          <w:szCs w:val="32"/>
          <w:lang w:val="en-US" w:eastAsia="zh-CN"/>
        </w:rPr>
      </w:pPr>
    </w:p>
    <w:p>
      <w:pPr>
        <w:jc w:val="center"/>
        <w:rPr>
          <w:rFonts w:hint="eastAsia" w:ascii="黑体" w:hAnsi="黑体" w:eastAsia="黑体" w:cs="黑体"/>
          <w:sz w:val="32"/>
          <w:szCs w:val="32"/>
          <w:lang w:val="en-US" w:eastAsia="zh-CN"/>
        </w:rPr>
      </w:pPr>
    </w:p>
    <w:p>
      <w:pPr>
        <w:ind w:firstLine="320" w:firstLineChars="100"/>
        <w:rPr>
          <w:rFonts w:hint="eastAsia" w:ascii="仿宋_GB2312" w:hAnsi="华文中宋" w:eastAsia="仿宋_GB2312" w:cs="Times New Roman"/>
          <w:color w:val="FF0000"/>
          <w:sz w:val="32"/>
          <w:szCs w:val="32"/>
          <w:lang w:val="en-US" w:eastAsia="zh-CN"/>
        </w:rPr>
      </w:pPr>
      <w:r>
        <w:rPr>
          <w:rFonts w:hint="eastAsia" w:ascii="仿宋_GB2312" w:hAnsi="华文中宋" w:eastAsia="仿宋_GB2312" w:cs="Times New Roman"/>
          <w:color w:val="FF0000"/>
          <w:sz w:val="32"/>
          <w:szCs w:val="32"/>
          <w:lang w:val="en-US" w:eastAsia="zh-CN"/>
        </w:rPr>
        <w:t>皖工马院〔2024〕5号               签发人：刘双</w:t>
      </w:r>
    </w:p>
    <w:p>
      <w:pPr>
        <w:ind w:firstLine="320" w:firstLineChars="100"/>
        <w:rPr>
          <w:rFonts w:hint="eastAsia" w:ascii="仿宋_GB2312" w:hAnsi="华文中宋" w:eastAsia="仿宋_GB2312" w:cs="Times New Roman"/>
          <w:color w:val="FF0000"/>
          <w:sz w:val="32"/>
          <w:szCs w:val="32"/>
          <w:lang w:val="en-US" w:eastAsia="zh-CN"/>
        </w:rPr>
      </w:pPr>
    </w:p>
    <w:p>
      <w:pPr>
        <w:pStyle w:val="2"/>
        <w:bidi w:val="0"/>
        <w:ind w:left="0" w:leftChars="0" w:firstLine="0" w:firstLineChars="0"/>
        <w:jc w:val="center"/>
        <w:rPr>
          <w:rFonts w:hint="eastAsia" w:ascii="微软雅黑" w:hAnsi="微软雅黑" w:eastAsia="微软雅黑" w:cs="微软雅黑"/>
          <w:b w:val="0"/>
          <w:bCs w:val="0"/>
          <w:sz w:val="44"/>
          <w:szCs w:val="44"/>
          <w:lang w:val="en-US" w:eastAsia="zh-CN"/>
        </w:rPr>
      </w:pPr>
      <w:bookmarkStart w:id="0" w:name="_Toc6342"/>
      <w:bookmarkStart w:id="1" w:name="_Toc21386"/>
      <w:bookmarkStart w:id="2" w:name="_Toc23127"/>
      <w:r>
        <w:rPr>
          <w:rFonts w:hint="eastAsia" w:ascii="微软雅黑" w:hAnsi="微软雅黑" w:eastAsia="微软雅黑" w:cs="微软雅黑"/>
          <w:b w:val="0"/>
          <w:bCs w:val="0"/>
          <w:sz w:val="44"/>
          <w:szCs w:val="44"/>
          <w:lang w:val="en-US" w:eastAsia="zh-CN"/>
        </w:rPr>
        <w:t>皖江工学院马克思主义学院课程结课</w:t>
      </w:r>
      <w:bookmarkEnd w:id="0"/>
      <w:bookmarkEnd w:id="1"/>
      <w:bookmarkEnd w:id="2"/>
    </w:p>
    <w:p>
      <w:pPr>
        <w:pStyle w:val="2"/>
        <w:bidi w:val="0"/>
        <w:ind w:left="0" w:leftChars="0" w:firstLine="0" w:firstLineChars="0"/>
        <w:jc w:val="center"/>
        <w:rPr>
          <w:rFonts w:hint="eastAsia" w:ascii="微软雅黑" w:hAnsi="微软雅黑" w:eastAsia="微软雅黑" w:cs="微软雅黑"/>
          <w:b w:val="0"/>
          <w:bCs w:val="0"/>
          <w:sz w:val="44"/>
          <w:szCs w:val="44"/>
          <w:lang w:val="en-US" w:eastAsia="zh-CN"/>
        </w:rPr>
      </w:pPr>
      <w:bookmarkStart w:id="3" w:name="_Toc25160"/>
      <w:bookmarkStart w:id="4" w:name="_Toc4140"/>
      <w:bookmarkStart w:id="5" w:name="_Toc15790"/>
      <w:r>
        <w:rPr>
          <w:rFonts w:hint="eastAsia" w:ascii="微软雅黑" w:hAnsi="微软雅黑" w:eastAsia="微软雅黑" w:cs="微软雅黑"/>
          <w:b w:val="0"/>
          <w:bCs w:val="0"/>
          <w:sz w:val="44"/>
          <w:szCs w:val="44"/>
          <w:lang w:val="en-US" w:eastAsia="zh-CN"/>
        </w:rPr>
        <w:t>材料归档管理办法</w:t>
      </w:r>
      <w:bookmarkEnd w:id="3"/>
      <w:bookmarkEnd w:id="4"/>
      <w:bookmarkEnd w:id="5"/>
      <w:r>
        <w:rPr>
          <w:rFonts w:hint="eastAsia" w:ascii="微软雅黑" w:hAnsi="微软雅黑" w:eastAsia="微软雅黑" w:cs="微软雅黑"/>
          <w:b w:val="0"/>
          <w:bCs w:val="0"/>
          <w:sz w:val="44"/>
          <w:szCs w:val="44"/>
          <w:lang w:val="en-US" w:eastAsia="zh-CN"/>
        </w:rPr>
        <w:t>（试行）</w:t>
      </w:r>
    </w:p>
    <w:p>
      <w:pPr>
        <w:pStyle w:val="2"/>
        <w:bidi w:val="0"/>
        <w:jc w:val="both"/>
        <w:rPr>
          <w:rFonts w:hint="eastAsia" w:ascii="微软雅黑" w:hAnsi="微软雅黑" w:eastAsia="微软雅黑" w:cs="微软雅黑"/>
          <w:bCs w:val="0"/>
          <w:szCs w:val="44"/>
          <w:lang w:val="en-US" w:eastAsia="zh-CN"/>
        </w:rPr>
      </w:pPr>
    </w:p>
    <w:p>
      <w:pPr>
        <w:pStyle w:val="2"/>
        <w:bidi w:val="0"/>
        <w:jc w:val="both"/>
        <w:rPr>
          <w:rFonts w:hint="eastAsia"/>
          <w:b w:val="0"/>
          <w:bCs/>
          <w:lang w:eastAsia="zh-CN"/>
        </w:rPr>
      </w:pPr>
      <w:bookmarkStart w:id="6" w:name="_Toc11510"/>
      <w:bookmarkStart w:id="7" w:name="_Toc25003"/>
      <w:bookmarkStart w:id="8" w:name="_Toc31030"/>
      <w:r>
        <w:rPr>
          <w:rFonts w:hint="eastAsia"/>
          <w:b w:val="0"/>
          <w:bCs/>
          <w:lang w:val="en-US" w:eastAsia="zh-CN"/>
        </w:rPr>
        <w:t>为规范教学管理，加强本学院教学档案规范化建设，提高学院课程考核试卷管理水平，实现考试试卷装订归档规范化，现根据《</w:t>
      </w:r>
      <w:r>
        <w:rPr>
          <w:rFonts w:hint="eastAsia"/>
          <w:b w:val="0"/>
          <w:bCs/>
          <w:lang w:eastAsia="zh-CN"/>
        </w:rPr>
        <w:t>皖江工学院教师教学工作规范》、《皖江工学院试卷质量评价办法》和《皖江工学院试卷批阅及归档规范管理办法（试行）》</w:t>
      </w:r>
      <w:r>
        <w:rPr>
          <w:rFonts w:hint="eastAsia"/>
          <w:b w:val="0"/>
          <w:bCs/>
          <w:highlight w:val="none"/>
          <w:lang w:val="en-US" w:eastAsia="zh-CN"/>
        </w:rPr>
        <w:t>等</w:t>
      </w:r>
      <w:r>
        <w:rPr>
          <w:rFonts w:hint="eastAsia"/>
          <w:b w:val="0"/>
          <w:bCs/>
          <w:lang w:val="en-US" w:eastAsia="zh-CN"/>
        </w:rPr>
        <w:t>文件</w:t>
      </w:r>
      <w:r>
        <w:rPr>
          <w:rFonts w:hint="eastAsia"/>
          <w:b w:val="0"/>
          <w:bCs/>
          <w:lang w:eastAsia="zh-CN"/>
        </w:rPr>
        <w:t>要求，结合</w:t>
      </w:r>
      <w:r>
        <w:rPr>
          <w:rFonts w:hint="eastAsia"/>
          <w:b w:val="0"/>
          <w:bCs/>
          <w:lang w:val="en-US" w:eastAsia="zh-CN"/>
        </w:rPr>
        <w:t>我</w:t>
      </w:r>
      <w:r>
        <w:rPr>
          <w:rFonts w:hint="eastAsia"/>
          <w:b w:val="0"/>
          <w:bCs/>
          <w:lang w:eastAsia="zh-CN"/>
        </w:rPr>
        <w:t>院考试工作和归档工作的实际情况，制定本制度。</w:t>
      </w:r>
      <w:bookmarkEnd w:id="6"/>
      <w:bookmarkEnd w:id="7"/>
      <w:bookmarkEnd w:id="8"/>
      <w:bookmarkStart w:id="9" w:name="_Toc17519"/>
      <w:bookmarkStart w:id="10" w:name="_Toc1417"/>
      <w:bookmarkStart w:id="11" w:name="_Toc17808"/>
      <w:bookmarkStart w:id="12" w:name="_Toc23725"/>
      <w:bookmarkStart w:id="13" w:name="_Toc13474"/>
    </w:p>
    <w:p>
      <w:pPr>
        <w:pStyle w:val="2"/>
        <w:bidi w:val="0"/>
        <w:rPr>
          <w:rFonts w:hint="eastAsia"/>
          <w:lang w:val="en-US" w:eastAsia="zh-CN"/>
        </w:rPr>
      </w:pPr>
      <w:bookmarkStart w:id="14" w:name="_Toc23271"/>
      <w:r>
        <w:rPr>
          <w:rFonts w:hint="eastAsia"/>
          <w:lang w:val="en-US" w:eastAsia="zh-CN"/>
        </w:rPr>
        <w:t>一、结课归档基本要求</w:t>
      </w:r>
      <w:bookmarkEnd w:id="14"/>
    </w:p>
    <w:p>
      <w:pPr>
        <w:bidi w:val="0"/>
        <w:ind w:left="0" w:leftChars="0" w:firstLine="0" w:firstLineChars="0"/>
        <w:jc w:val="left"/>
        <w:rPr>
          <w:rStyle w:val="16"/>
          <w:rFonts w:hint="eastAsia"/>
          <w:lang w:val="en-US" w:eastAsia="zh-CN"/>
        </w:rPr>
      </w:pPr>
      <w:bookmarkStart w:id="15" w:name="_Toc27173"/>
      <w:r>
        <w:rPr>
          <w:rStyle w:val="16"/>
          <w:rFonts w:hint="eastAsia"/>
          <w:lang w:val="en-US" w:eastAsia="zh-CN"/>
        </w:rPr>
        <w:t>（一）结课材料归档原则：</w:t>
      </w:r>
    </w:p>
    <w:bookmarkEnd w:id="15"/>
    <w:p>
      <w:pPr>
        <w:bidi w:val="0"/>
      </w:pPr>
      <w:r>
        <w:rPr>
          <w:rFonts w:hint="eastAsia"/>
          <w:lang w:val="en-US" w:eastAsia="zh-CN"/>
        </w:rPr>
        <w:t>凡结课的课程无论考试课程还是考察课程的结课材料如试卷（含补考）等均需归档。原则上，每份归档材料袋内的试卷成绩分析表学生人数、成绩单学生人数、平时成绩记录表学生人数、考场签到表学生人数、试卷份数（人数）五者信息一致。</w:t>
      </w:r>
    </w:p>
    <w:p>
      <w:pPr>
        <w:numPr>
          <w:ilvl w:val="0"/>
          <w:numId w:val="1"/>
        </w:numPr>
        <w:bidi w:val="0"/>
        <w:ind w:left="0" w:leftChars="0" w:firstLine="0" w:firstLineChars="0"/>
        <w:jc w:val="left"/>
        <w:rPr>
          <w:rStyle w:val="16"/>
          <w:rFonts w:hint="eastAsia"/>
          <w:lang w:val="en-US" w:eastAsia="zh-CN"/>
        </w:rPr>
      </w:pPr>
      <w:bookmarkStart w:id="16" w:name="_Toc3050"/>
      <w:r>
        <w:rPr>
          <w:rStyle w:val="16"/>
          <w:rFonts w:hint="eastAsia"/>
          <w:lang w:val="en-US" w:eastAsia="zh-CN"/>
        </w:rPr>
        <w:t>结课材料归档及保密要求：</w:t>
      </w:r>
    </w:p>
    <w:bookmarkEnd w:id="16"/>
    <w:p>
      <w:pPr>
        <w:bidi w:val="0"/>
        <w:rPr>
          <w:rFonts w:hint="eastAsia"/>
          <w:lang w:val="en-US" w:eastAsia="zh-CN"/>
        </w:rPr>
      </w:pPr>
      <w:r>
        <w:rPr>
          <w:rFonts w:hint="eastAsia"/>
          <w:lang w:val="en-US" w:eastAsia="zh-CN"/>
        </w:rPr>
        <w:t>归档材料分为电子材料和纸质材料，两样材料归档及保密要求如下：</w:t>
      </w:r>
    </w:p>
    <w:p>
      <w:pPr>
        <w:bidi w:val="0"/>
        <w:ind w:left="0" w:leftChars="0" w:firstLine="0" w:firstLineChars="0"/>
        <w:rPr>
          <w:rFonts w:hint="eastAsia"/>
          <w:b w:val="0"/>
          <w:bCs w:val="0"/>
          <w:highlight w:val="none"/>
          <w:lang w:val="en-US" w:eastAsia="zh-CN"/>
        </w:rPr>
      </w:pPr>
      <w:bookmarkStart w:id="17" w:name="_Toc13007"/>
      <w:r>
        <w:rPr>
          <w:rStyle w:val="17"/>
          <w:rFonts w:hint="eastAsia"/>
          <w:lang w:val="en-US" w:eastAsia="zh-CN"/>
        </w:rPr>
        <w:t>1.电子材料：</w:t>
      </w:r>
      <w:bookmarkEnd w:id="17"/>
      <w:r>
        <w:rPr>
          <w:rFonts w:hint="eastAsia"/>
          <w:b w:val="0"/>
          <w:bCs w:val="0"/>
          <w:highlight w:val="none"/>
          <w:lang w:val="en-US" w:eastAsia="zh-CN"/>
        </w:rPr>
        <w:t>存储线上考试试卷等材料的电脑必须只能由教学办公室负责人专人专机，设置开机密码，并由专人保管。试卷等材料存储备份U盘必须统一存放学院（部）教学档案室，并由教学办公室负责人看管。</w:t>
      </w:r>
    </w:p>
    <w:p>
      <w:pPr>
        <w:bidi w:val="0"/>
        <w:ind w:left="0" w:leftChars="0" w:firstLine="0" w:firstLineChars="0"/>
        <w:rPr>
          <w:rFonts w:hint="eastAsia"/>
          <w:b w:val="0"/>
          <w:bCs w:val="0"/>
          <w:highlight w:val="none"/>
          <w:lang w:val="en-US" w:eastAsia="zh-CN"/>
        </w:rPr>
      </w:pPr>
      <w:bookmarkStart w:id="18" w:name="_Toc26997"/>
      <w:r>
        <w:rPr>
          <w:rStyle w:val="17"/>
          <w:rFonts w:hint="eastAsia"/>
          <w:lang w:val="en-US" w:eastAsia="zh-CN"/>
        </w:rPr>
        <w:t>2.纸质材料：</w:t>
      </w:r>
      <w:bookmarkEnd w:id="18"/>
      <w:r>
        <w:rPr>
          <w:rFonts w:hint="eastAsia"/>
          <w:b w:val="0"/>
          <w:bCs w:val="0"/>
          <w:highlight w:val="none"/>
          <w:lang w:val="en-US" w:eastAsia="zh-CN"/>
        </w:rPr>
        <w:t>学生成绩单、学生平时成绩记录表、学生成绩统计与试题分析表、参考答案、评分标准（AB卷）、空白试卷（AB卷）（如果有答题纸同步放入档案袋储存）、学生考场签到表等7种材料，填写规范按照《皖江工学院试卷批阅及归档规范管理办法（修订）》执行。同一门课程的每个开课班级的纸质材料存放线上考试专用A4材料袋中。</w:t>
      </w:r>
    </w:p>
    <w:p>
      <w:pPr>
        <w:bidi w:val="0"/>
        <w:ind w:left="0" w:leftChars="0" w:firstLine="0" w:firstLineChars="0"/>
        <w:rPr>
          <w:rStyle w:val="16"/>
          <w:rFonts w:hint="eastAsia"/>
          <w:lang w:val="en-US" w:eastAsia="zh-CN"/>
        </w:rPr>
      </w:pPr>
      <w:bookmarkStart w:id="19" w:name="_Toc5040"/>
      <w:r>
        <w:rPr>
          <w:rStyle w:val="16"/>
          <w:rFonts w:hint="eastAsia"/>
          <w:lang w:val="en-US" w:eastAsia="zh-CN"/>
        </w:rPr>
        <w:t>（三）结课材料存储年限要求：</w:t>
      </w:r>
    </w:p>
    <w:bookmarkEnd w:id="19"/>
    <w:p>
      <w:pPr>
        <w:bidi w:val="0"/>
        <w:ind w:left="0" w:leftChars="0" w:firstLine="0" w:firstLineChars="0"/>
        <w:rPr>
          <w:rFonts w:hint="eastAsia"/>
          <w:b w:val="0"/>
          <w:bCs w:val="0"/>
          <w:highlight w:val="none"/>
          <w:lang w:val="en-US" w:eastAsia="zh-CN"/>
        </w:rPr>
      </w:pPr>
      <w:bookmarkStart w:id="20" w:name="_Toc31208"/>
      <w:r>
        <w:rPr>
          <w:rStyle w:val="16"/>
          <w:rFonts w:hint="eastAsia"/>
          <w:lang w:val="en-US" w:eastAsia="zh-CN"/>
        </w:rPr>
        <w:t>1.</w:t>
      </w:r>
      <w:bookmarkEnd w:id="20"/>
      <w:r>
        <w:rPr>
          <w:rFonts w:hint="eastAsia"/>
          <w:b/>
          <w:bCs/>
          <w:highlight w:val="none"/>
          <w:lang w:val="en-US" w:eastAsia="zh-CN"/>
        </w:rPr>
        <w:t>线上考试的课程：</w:t>
      </w:r>
      <w:r>
        <w:rPr>
          <w:rFonts w:hint="eastAsia"/>
          <w:b w:val="0"/>
          <w:bCs w:val="0"/>
          <w:highlight w:val="none"/>
          <w:lang w:val="en-US" w:eastAsia="zh-CN"/>
        </w:rPr>
        <w:t>教师不得删除线上考核或作业等数据，做好网上考试数据留存。电子试卷等材料保存到学生毕业后五年。</w:t>
      </w:r>
    </w:p>
    <w:p>
      <w:pPr>
        <w:bidi w:val="0"/>
        <w:ind w:left="0" w:leftChars="0" w:firstLine="0" w:firstLineChars="0"/>
        <w:rPr>
          <w:rFonts w:hint="default"/>
          <w:b w:val="0"/>
          <w:bCs w:val="0"/>
          <w:highlight w:val="none"/>
          <w:lang w:val="en-US" w:eastAsia="zh-CN"/>
        </w:rPr>
      </w:pPr>
      <w:r>
        <w:rPr>
          <w:rFonts w:hint="eastAsia" w:ascii="仿宋" w:hAnsi="仿宋" w:eastAsia="仿宋" w:cs="仿宋"/>
          <w:b/>
          <w:bCs/>
          <w:highlight w:val="none"/>
          <w:lang w:val="en-US" w:eastAsia="zh-CN"/>
        </w:rPr>
        <w:t>2.线下结课的材料</w:t>
      </w:r>
      <w:r>
        <w:rPr>
          <w:rFonts w:hint="eastAsia" w:ascii="仿宋" w:hAnsi="仿宋" w:cs="仿宋"/>
          <w:b/>
          <w:bCs/>
          <w:highlight w:val="none"/>
          <w:lang w:val="en-US" w:eastAsia="zh-CN"/>
        </w:rPr>
        <w:t>：</w:t>
      </w:r>
      <w:r>
        <w:rPr>
          <w:rFonts w:hint="eastAsia"/>
          <w:b w:val="0"/>
          <w:bCs w:val="0"/>
          <w:highlight w:val="none"/>
          <w:lang w:val="en-US" w:eastAsia="zh-CN"/>
        </w:rPr>
        <w:t>保存到学生毕业后五年。</w:t>
      </w:r>
    </w:p>
    <w:p>
      <w:pPr>
        <w:pStyle w:val="2"/>
        <w:bidi w:val="0"/>
        <w:ind w:left="0" w:leftChars="0" w:firstLine="0" w:firstLineChars="0"/>
        <w:jc w:val="left"/>
        <w:rPr>
          <w:rStyle w:val="16"/>
          <w:rFonts w:hint="eastAsia"/>
          <w:b/>
          <w:lang w:val="en-US" w:eastAsia="zh-CN"/>
        </w:rPr>
      </w:pPr>
      <w:bookmarkStart w:id="21" w:name="_Toc27190"/>
      <w:r>
        <w:rPr>
          <w:rStyle w:val="16"/>
          <w:rFonts w:hint="eastAsia"/>
          <w:b/>
          <w:lang w:val="en-US" w:eastAsia="zh-CN"/>
        </w:rPr>
        <w:t>（四）结课材料归档流程：</w:t>
      </w:r>
      <w:bookmarkEnd w:id="21"/>
    </w:p>
    <w:p>
      <w:pPr>
        <w:bidi w:val="0"/>
        <w:rPr>
          <w:rFonts w:hint="eastAsia"/>
          <w:lang w:val="en-US" w:eastAsia="zh-CN"/>
        </w:rPr>
      </w:pPr>
      <w:r>
        <w:rPr>
          <w:rFonts w:hint="eastAsia"/>
          <w:lang w:val="en-US" w:eastAsia="zh-CN"/>
        </w:rPr>
        <w:t>教研室根据开课计划，按照此文件的归档标准验收并集中所有任课教师的结课档案，照顺序统一整理齐全后，留存好教研室需要单独保存的备份外，提交至学院教学办公室，统一存放在档案室对应课程名称的档案柜内。</w:t>
      </w:r>
    </w:p>
    <w:p>
      <w:pPr>
        <w:pStyle w:val="2"/>
        <w:bidi w:val="0"/>
        <w:rPr>
          <w:rFonts w:hint="eastAsia"/>
          <w:lang w:val="en-US" w:eastAsia="zh-CN"/>
        </w:rPr>
      </w:pPr>
      <w:bookmarkStart w:id="22" w:name="_Toc31578"/>
      <w:r>
        <w:rPr>
          <w:rFonts w:hint="eastAsia"/>
          <w:lang w:val="en-US" w:eastAsia="zh-CN"/>
        </w:rPr>
        <w:t>二、理论课结课材料归档</w:t>
      </w:r>
      <w:bookmarkEnd w:id="22"/>
    </w:p>
    <w:p>
      <w:pPr>
        <w:pStyle w:val="2"/>
        <w:bidi w:val="0"/>
        <w:ind w:left="0" w:leftChars="0" w:firstLine="0" w:firstLineChars="0"/>
        <w:jc w:val="both"/>
        <w:rPr>
          <w:rFonts w:hint="eastAsia"/>
          <w:lang w:val="en-US" w:eastAsia="zh-CN"/>
        </w:rPr>
      </w:pPr>
      <w:bookmarkStart w:id="23" w:name="_Toc245"/>
      <w:r>
        <w:rPr>
          <w:rFonts w:hint="eastAsia"/>
          <w:lang w:val="en-US" w:eastAsia="zh-CN"/>
        </w:rPr>
        <w:t>（一）理论课线上考试类课程结课材料归档细则</w:t>
      </w:r>
      <w:bookmarkEnd w:id="23"/>
      <w:bookmarkStart w:id="24" w:name="_Toc32345"/>
      <w:bookmarkStart w:id="25" w:name="_Toc3546"/>
      <w:bookmarkStart w:id="26" w:name="_Toc2591"/>
      <w:bookmarkStart w:id="27" w:name="_Toc16411"/>
      <w:bookmarkStart w:id="28" w:name="_Toc29533"/>
      <w:bookmarkStart w:id="29" w:name="_Toc23477"/>
      <w:bookmarkStart w:id="30" w:name="_Toc13671"/>
      <w:bookmarkStart w:id="31" w:name="_Toc14400"/>
      <w:bookmarkStart w:id="32" w:name="_Toc2219"/>
      <w:bookmarkStart w:id="33" w:name="_Toc23262"/>
      <w:bookmarkStart w:id="34" w:name="_Toc32138"/>
      <w:bookmarkStart w:id="35" w:name="_Toc20587"/>
    </w:p>
    <w:p>
      <w:pPr>
        <w:pStyle w:val="2"/>
        <w:bidi w:val="0"/>
        <w:ind w:left="0" w:leftChars="0" w:firstLine="0" w:firstLineChars="0"/>
        <w:jc w:val="both"/>
        <w:rPr>
          <w:rFonts w:hint="eastAsia"/>
          <w:lang w:val="en-US" w:eastAsia="zh-CN"/>
        </w:rPr>
      </w:pPr>
      <w:bookmarkStart w:id="36" w:name="_Toc26497"/>
      <w:r>
        <w:rPr>
          <w:rFonts w:hint="eastAsia"/>
          <w:lang w:val="en-US" w:eastAsia="zh-CN"/>
        </w:rPr>
        <w:t>1.</w:t>
      </w:r>
      <w:r>
        <w:rPr>
          <w:rFonts w:hint="eastAsia"/>
          <w:lang w:eastAsia="zh-CN"/>
        </w:rPr>
        <w:t>理论课</w:t>
      </w:r>
      <w:r>
        <w:rPr>
          <w:rFonts w:hint="eastAsia"/>
          <w:lang w:val="en-US" w:eastAsia="zh-CN"/>
        </w:rPr>
        <w:t>线上考试结课电子资料归档细则</w:t>
      </w:r>
      <w:bookmarkEnd w:id="24"/>
      <w:bookmarkEnd w:id="25"/>
      <w:bookmarkEnd w:id="26"/>
      <w:bookmarkEnd w:id="27"/>
      <w:bookmarkEnd w:id="28"/>
      <w:bookmarkEnd w:id="29"/>
      <w:bookmarkEnd w:id="30"/>
      <w:bookmarkEnd w:id="31"/>
      <w:bookmarkEnd w:id="32"/>
      <w:bookmarkEnd w:id="36"/>
    </w:p>
    <w:p>
      <w:pPr>
        <w:pStyle w:val="2"/>
        <w:bidi w:val="0"/>
        <w:ind w:left="0" w:leftChars="0" w:firstLine="0" w:firstLineChars="0"/>
        <w:jc w:val="both"/>
        <w:rPr>
          <w:rFonts w:hint="eastAsia" w:ascii="仿宋" w:hAnsi="仿宋" w:eastAsia="仿宋" w:cs="仿宋"/>
          <w:b w:val="0"/>
          <w:bCs/>
          <w:lang w:val="en-US" w:eastAsia="zh-CN"/>
        </w:rPr>
      </w:pPr>
      <w:bookmarkStart w:id="37" w:name="_Toc9842"/>
      <w:r>
        <w:rPr>
          <w:rStyle w:val="17"/>
          <w:rFonts w:hint="eastAsia"/>
          <w:b/>
          <w:bCs/>
          <w:lang w:val="en-US" w:eastAsia="zh-CN"/>
        </w:rPr>
        <w:t>（1）结课电子材料储存形式：</w:t>
      </w:r>
      <w:r>
        <w:rPr>
          <w:rFonts w:hint="eastAsia" w:ascii="仿宋" w:hAnsi="仿宋" w:eastAsia="仿宋" w:cs="仿宋"/>
          <w:b w:val="0"/>
          <w:bCs/>
          <w:lang w:eastAsia="zh-CN"/>
        </w:rPr>
        <w:t>无纸化考试试卷</w:t>
      </w:r>
      <w:r>
        <w:rPr>
          <w:rFonts w:hint="eastAsia" w:ascii="仿宋" w:hAnsi="仿宋" w:eastAsia="仿宋" w:cs="仿宋"/>
          <w:b w:val="0"/>
          <w:bCs/>
        </w:rPr>
        <w:t>以电子形式保存</w:t>
      </w:r>
      <w:r>
        <w:rPr>
          <w:rFonts w:hint="eastAsia" w:ascii="仿宋" w:hAnsi="仿宋" w:eastAsia="仿宋" w:cs="仿宋"/>
          <w:b w:val="0"/>
          <w:bCs/>
          <w:lang w:eastAsia="zh-CN"/>
        </w:rPr>
        <w:t>，用单独的设备进行存储。试卷统一以</w:t>
      </w:r>
      <w:r>
        <w:rPr>
          <w:rFonts w:hint="eastAsia" w:ascii="仿宋" w:hAnsi="仿宋" w:eastAsia="仿宋" w:cs="仿宋"/>
          <w:b w:val="0"/>
          <w:bCs/>
          <w:lang w:val="en-US" w:eastAsia="zh-CN"/>
        </w:rPr>
        <w:t>PDF格式，按照一个学期一门课程一个U盘进行储存。</w:t>
      </w:r>
      <w:bookmarkEnd w:id="37"/>
    </w:p>
    <w:p>
      <w:pPr>
        <w:bidi w:val="0"/>
        <w:ind w:left="0" w:leftChars="0" w:firstLine="0" w:firstLineChars="0"/>
        <w:rPr>
          <w:rStyle w:val="17"/>
          <w:rFonts w:hint="eastAsia"/>
          <w:lang w:val="en-US" w:eastAsia="zh-CN"/>
        </w:rPr>
      </w:pPr>
      <w:bookmarkStart w:id="38" w:name="_Toc18384"/>
      <w:r>
        <w:rPr>
          <w:rStyle w:val="17"/>
          <w:rFonts w:hint="eastAsia"/>
          <w:lang w:val="en-US" w:eastAsia="zh-CN"/>
        </w:rPr>
        <w:t>（2）结课电子资料储存分类及命名逻辑：</w:t>
      </w:r>
      <w:bookmarkEnd w:id="38"/>
    </w:p>
    <w:p>
      <w:pPr>
        <w:bidi w:val="0"/>
        <w:rPr>
          <w:rFonts w:hint="eastAsia"/>
          <w:lang w:val="en-US" w:eastAsia="zh-CN"/>
        </w:rPr>
      </w:pPr>
      <w:r>
        <w:rPr>
          <w:rFonts w:hint="eastAsia"/>
          <w:lang w:val="en-US" w:eastAsia="zh-CN"/>
        </w:rPr>
        <w:t>无纸化试卷的电子文件夹命名方式按级别统一命名。线上考试学生试卷具体要求如下：（a）以“20xx-20xx学年-x学期试卷”作为第一级存储文件夹。（b）以“课程名”作为第二级存储文件夹。（c）不同教师提交的试卷，以“教师名”为文件夹名作为三级存储文件夹。（d）每位教师将自己所带专业以“学院+年级专业”为文件夹名作为四级存储文件夹。（d）从平台导出每名学生的考试试卷，以“学号+姓名+课程名”方式命名，存入四级存储文件夹。</w:t>
      </w:r>
    </w:p>
    <w:p>
      <w:pPr>
        <w:bidi w:val="0"/>
        <w:ind w:left="0" w:leftChars="0" w:firstLine="0" w:firstLineChars="0"/>
        <w:rPr>
          <w:rFonts w:hint="eastAsia"/>
          <w:lang w:val="en-US" w:eastAsia="zh-CN"/>
        </w:rPr>
      </w:pPr>
      <w:bookmarkStart w:id="39" w:name="_Toc26450"/>
      <w:r>
        <w:rPr>
          <w:rStyle w:val="14"/>
          <w:rFonts w:hint="eastAsia"/>
          <w:lang w:val="en-US" w:eastAsia="zh-CN"/>
        </w:rPr>
        <w:t>（3）结课电子资料保存要求：</w:t>
      </w:r>
      <w:r>
        <w:rPr>
          <w:rStyle w:val="14"/>
          <w:rFonts w:hint="eastAsia"/>
          <w:b w:val="0"/>
          <w:bCs/>
          <w:lang w:val="en-US" w:eastAsia="zh-CN"/>
        </w:rPr>
        <w:t>（a）</w:t>
      </w:r>
      <w:bookmarkEnd w:id="39"/>
      <w:r>
        <w:rPr>
          <w:rFonts w:hint="eastAsia"/>
          <w:lang w:val="en-US" w:eastAsia="zh-CN"/>
        </w:rPr>
        <w:t>线上考试试卷批阅符合本办法第一章试卷批改要求。（b）学生电子试卷等材料保存到学生毕业后五年，需要进行备份存储，防止硬盘或U盘等设备损坏。</w:t>
      </w:r>
    </w:p>
    <w:p>
      <w:pPr>
        <w:bidi w:val="0"/>
        <w:ind w:left="0" w:leftChars="0" w:firstLine="0" w:firstLineChars="0"/>
        <w:rPr>
          <w:rFonts w:hint="eastAsia"/>
          <w:lang w:val="en-US" w:eastAsia="zh-CN"/>
        </w:rPr>
      </w:pPr>
      <w:bookmarkStart w:id="40" w:name="_Toc12213"/>
      <w:bookmarkStart w:id="41" w:name="_Toc19662"/>
      <w:bookmarkStart w:id="42" w:name="_Toc21220"/>
      <w:bookmarkStart w:id="43" w:name="_Toc9979"/>
      <w:bookmarkStart w:id="44" w:name="_Toc16726"/>
      <w:bookmarkStart w:id="45" w:name="_Toc21790"/>
      <w:bookmarkStart w:id="46" w:name="_Toc24554"/>
      <w:bookmarkStart w:id="47" w:name="_Toc26579"/>
      <w:bookmarkStart w:id="48" w:name="_Toc24730"/>
      <w:bookmarkStart w:id="49" w:name="_Toc13012"/>
      <w:r>
        <w:rPr>
          <w:rFonts w:hint="eastAsia" w:ascii="仿宋" w:hAnsi="仿宋" w:eastAsia="仿宋" w:cs="仿宋"/>
          <w:b/>
          <w:bCs/>
          <w:lang w:val="en-US" w:eastAsia="zh-CN"/>
        </w:rPr>
        <w:t>（4）理论课课内实践教学改革</w:t>
      </w:r>
      <w:bookmarkEnd w:id="40"/>
      <w:bookmarkEnd w:id="41"/>
      <w:bookmarkEnd w:id="42"/>
      <w:bookmarkEnd w:id="43"/>
      <w:bookmarkEnd w:id="44"/>
      <w:bookmarkEnd w:id="45"/>
      <w:bookmarkEnd w:id="46"/>
      <w:bookmarkEnd w:id="47"/>
      <w:r>
        <w:rPr>
          <w:rFonts w:hint="eastAsia" w:ascii="仿宋" w:hAnsi="仿宋" w:eastAsia="仿宋" w:cs="仿宋"/>
          <w:b/>
          <w:bCs/>
          <w:lang w:val="en-US" w:eastAsia="zh-CN"/>
        </w:rPr>
        <w:t>归档：</w:t>
      </w:r>
      <w:r>
        <w:rPr>
          <w:rFonts w:hint="eastAsia"/>
          <w:lang w:val="en-US" w:eastAsia="zh-CN"/>
        </w:rPr>
        <w:t>课内实践属于理论课的课堂教学改革组成部分。按照课程教学大纲要求，统一以电子版的实践报告word版本，与电子档案同步存储。</w:t>
      </w:r>
      <w:bookmarkEnd w:id="48"/>
      <w:bookmarkEnd w:id="49"/>
      <w:bookmarkStart w:id="50" w:name="_Toc23582"/>
      <w:bookmarkStart w:id="51" w:name="_Toc25234"/>
    </w:p>
    <w:p>
      <w:pPr>
        <w:bidi w:val="0"/>
        <w:ind w:left="0" w:leftChars="0" w:firstLine="0" w:firstLineChars="0"/>
        <w:rPr>
          <w:rFonts w:hint="eastAsia" w:ascii="仿宋" w:hAnsi="仿宋" w:eastAsia="仿宋" w:cs="仿宋"/>
          <w:b/>
          <w:bCs/>
          <w:lang w:val="en-US" w:eastAsia="zh-CN"/>
        </w:rPr>
      </w:pPr>
      <w:r>
        <w:rPr>
          <w:rFonts w:hint="eastAsia" w:ascii="仿宋" w:hAnsi="仿宋" w:eastAsia="仿宋" w:cs="仿宋"/>
          <w:b/>
          <w:bCs/>
          <w:lang w:val="en-US" w:eastAsia="zh-CN"/>
        </w:rPr>
        <w:t>2</w:t>
      </w:r>
      <w:bookmarkEnd w:id="33"/>
      <w:bookmarkEnd w:id="34"/>
      <w:bookmarkEnd w:id="35"/>
      <w:r>
        <w:rPr>
          <w:rFonts w:hint="eastAsia" w:ascii="仿宋" w:hAnsi="仿宋" w:eastAsia="仿宋" w:cs="仿宋"/>
          <w:b/>
          <w:bCs/>
          <w:lang w:val="en-US" w:eastAsia="zh-CN"/>
        </w:rPr>
        <w:t>.</w:t>
      </w:r>
      <w:r>
        <w:rPr>
          <w:rFonts w:hint="eastAsia" w:ascii="仿宋" w:hAnsi="仿宋" w:eastAsia="仿宋" w:cs="仿宋"/>
          <w:b/>
          <w:bCs/>
          <w:lang w:eastAsia="zh-CN"/>
        </w:rPr>
        <w:t>理论课</w:t>
      </w:r>
      <w:r>
        <w:rPr>
          <w:rFonts w:hint="eastAsia" w:ascii="仿宋" w:hAnsi="仿宋" w:eastAsia="仿宋" w:cs="仿宋"/>
          <w:b/>
          <w:bCs/>
          <w:lang w:val="en-US" w:eastAsia="zh-CN"/>
        </w:rPr>
        <w:t>线上考试结课纸质</w:t>
      </w:r>
      <w:r>
        <w:rPr>
          <w:rFonts w:hint="eastAsia" w:ascii="仿宋" w:hAnsi="仿宋" w:eastAsia="仿宋" w:cs="仿宋"/>
          <w:b/>
          <w:bCs/>
          <w:lang w:eastAsia="zh-CN"/>
        </w:rPr>
        <w:t>资料</w:t>
      </w:r>
      <w:r>
        <w:rPr>
          <w:rFonts w:hint="eastAsia" w:ascii="仿宋" w:hAnsi="仿宋" w:eastAsia="仿宋" w:cs="仿宋"/>
          <w:b/>
          <w:bCs/>
          <w:lang w:val="en-US" w:eastAsia="zh-CN"/>
        </w:rPr>
        <w:t>归档细则</w:t>
      </w:r>
      <w:bookmarkEnd w:id="9"/>
      <w:bookmarkEnd w:id="10"/>
      <w:bookmarkEnd w:id="11"/>
      <w:bookmarkEnd w:id="12"/>
      <w:bookmarkEnd w:id="13"/>
      <w:bookmarkEnd w:id="50"/>
      <w:bookmarkEnd w:id="51"/>
      <w:bookmarkStart w:id="52" w:name="_Toc11025"/>
      <w:bookmarkStart w:id="53" w:name="_Toc23573"/>
      <w:bookmarkStart w:id="54" w:name="_Toc15141"/>
      <w:bookmarkStart w:id="55" w:name="_Toc23903"/>
      <w:bookmarkStart w:id="56" w:name="_Toc18109"/>
      <w:bookmarkStart w:id="57" w:name="_Toc9297"/>
      <w:bookmarkStart w:id="58" w:name="_Toc20931"/>
      <w:bookmarkStart w:id="59" w:name="_Toc11572"/>
      <w:bookmarkStart w:id="60" w:name="_Toc11686"/>
      <w:bookmarkStart w:id="61" w:name="_Toc2576"/>
    </w:p>
    <w:p>
      <w:pPr>
        <w:bidi w:val="0"/>
        <w:ind w:left="0" w:leftChars="0" w:firstLine="0" w:firstLineChars="0"/>
        <w:rPr>
          <w:rFonts w:hint="eastAsia"/>
          <w:b/>
          <w:bCs/>
          <w:lang w:val="en-US" w:eastAsia="zh-CN"/>
        </w:rPr>
      </w:pPr>
      <w:r>
        <w:rPr>
          <w:rFonts w:hint="eastAsia"/>
          <w:b/>
          <w:bCs/>
          <w:lang w:val="en-US" w:eastAsia="zh-CN"/>
        </w:rPr>
        <w:t>（1）学校统一印制的试卷归档材料袋</w:t>
      </w:r>
      <w:bookmarkEnd w:id="52"/>
      <w:bookmarkEnd w:id="53"/>
      <w:bookmarkEnd w:id="54"/>
      <w:bookmarkEnd w:id="55"/>
      <w:bookmarkEnd w:id="56"/>
      <w:bookmarkEnd w:id="57"/>
      <w:bookmarkEnd w:id="58"/>
      <w:bookmarkEnd w:id="59"/>
      <w:r>
        <w:rPr>
          <w:rFonts w:hint="eastAsia"/>
          <w:b/>
          <w:bCs/>
          <w:lang w:val="en-US" w:eastAsia="zh-CN"/>
        </w:rPr>
        <w:t>填写规范</w:t>
      </w:r>
      <w:bookmarkEnd w:id="60"/>
      <w:bookmarkEnd w:id="61"/>
    </w:p>
    <w:p>
      <w:pPr>
        <w:bidi w:val="0"/>
        <w:rPr>
          <w:rFonts w:hint="eastAsia"/>
          <w:lang w:val="en-US" w:eastAsia="zh-CN"/>
        </w:rPr>
      </w:pPr>
      <w:r>
        <w:rPr>
          <w:rFonts w:hint="eastAsia"/>
          <w:lang w:val="en-US" w:eastAsia="zh-CN"/>
        </w:rPr>
        <w:t>（a）试卷袋封面各项内容均需填写完整，签名处由阅卷教师和复核教师本人手写签字。（b）核对材料后，在试卷袋封面相应材料名称后打“</w:t>
      </w:r>
      <w:r>
        <w:rPr>
          <w:rFonts w:hint="default"/>
          <w:lang w:val="en-US" w:eastAsia="zh-CN"/>
        </w:rPr>
        <w:t>√</w:t>
      </w:r>
      <w:r>
        <w:rPr>
          <w:rFonts w:hint="eastAsia"/>
          <w:lang w:val="en-US" w:eastAsia="zh-CN"/>
        </w:rPr>
        <w:t>”。没有的材料在相应的材料名称后填“无”或标注“单独归档”。（c）试卷归档材料袋每类材料按照学院规范标准统一顺序存放。按照学生成绩统计与试题分析表—学生成绩单—学生平时成绩记录表—学生考场签到表—空白试卷（AB卷）（如果有答题纸同步放入档案袋储存）—参考答案—评分标准（AB卷）等7种材料的顺序排放。</w:t>
      </w:r>
      <w:bookmarkStart w:id="62" w:name="_Toc30382"/>
      <w:bookmarkStart w:id="63" w:name="_Toc18104"/>
      <w:bookmarkStart w:id="64" w:name="_Toc32071"/>
      <w:bookmarkStart w:id="65" w:name="_Toc14347"/>
      <w:bookmarkStart w:id="66" w:name="_Toc23862"/>
      <w:bookmarkStart w:id="67" w:name="_Toc27266"/>
      <w:bookmarkStart w:id="68" w:name="_Toc20570"/>
      <w:bookmarkStart w:id="69" w:name="_Toc14398"/>
      <w:bookmarkStart w:id="70" w:name="_Toc23967"/>
      <w:bookmarkStart w:id="71" w:name="_Toc30180"/>
    </w:p>
    <w:p>
      <w:pPr>
        <w:bidi w:val="0"/>
        <w:ind w:left="0" w:leftChars="0" w:firstLine="0" w:firstLineChars="0"/>
        <w:rPr>
          <w:rFonts w:hint="eastAsia"/>
          <w:b/>
          <w:bCs/>
          <w:lang w:val="en-US" w:eastAsia="zh-CN"/>
        </w:rPr>
      </w:pPr>
      <w:r>
        <w:rPr>
          <w:rFonts w:hint="eastAsia"/>
          <w:b/>
          <w:bCs/>
          <w:lang w:val="en-US" w:eastAsia="zh-CN"/>
        </w:rPr>
        <w:t>（2）学生成绩单</w:t>
      </w:r>
      <w:bookmarkEnd w:id="62"/>
      <w:bookmarkEnd w:id="63"/>
      <w:bookmarkEnd w:id="64"/>
      <w:bookmarkEnd w:id="65"/>
      <w:bookmarkEnd w:id="66"/>
      <w:bookmarkEnd w:id="67"/>
      <w:bookmarkEnd w:id="68"/>
      <w:bookmarkEnd w:id="69"/>
      <w:bookmarkEnd w:id="70"/>
      <w:bookmarkEnd w:id="71"/>
    </w:p>
    <w:p>
      <w:pPr>
        <w:bidi w:val="0"/>
        <w:rPr>
          <w:rFonts w:hint="eastAsia"/>
          <w:lang w:val="en-US" w:eastAsia="zh-CN"/>
        </w:rPr>
      </w:pPr>
      <w:r>
        <w:rPr>
          <w:rFonts w:hint="eastAsia"/>
          <w:lang w:eastAsia="zh-CN"/>
        </w:rPr>
        <w:t>（</w:t>
      </w:r>
      <w:r>
        <w:rPr>
          <w:rFonts w:hint="eastAsia"/>
          <w:lang w:val="en-US" w:eastAsia="zh-CN"/>
        </w:rPr>
        <w:t>a）</w:t>
      </w:r>
      <w:r>
        <w:rPr>
          <w:rFonts w:hint="eastAsia"/>
        </w:rPr>
        <w:t>成绩线上录入需准确无误，平时成绩、期末成绩、</w:t>
      </w:r>
      <w:r>
        <w:rPr>
          <w:rFonts w:hint="eastAsia"/>
        </w:rPr>
        <w:br w:type="textWrapping"/>
      </w:r>
      <w:r>
        <w:rPr>
          <w:rFonts w:hint="eastAsia"/>
        </w:rPr>
        <w:t>综合成绩需填写完整。（</w:t>
      </w:r>
      <w:r>
        <w:rPr>
          <w:rFonts w:hint="eastAsia"/>
          <w:lang w:val="en-US" w:eastAsia="zh-CN"/>
        </w:rPr>
        <w:t>b</w:t>
      </w:r>
      <w:r>
        <w:rPr>
          <w:rFonts w:hint="eastAsia"/>
        </w:rPr>
        <w:t>）成绩单需教师签</w:t>
      </w:r>
      <w:r>
        <w:rPr>
          <w:rFonts w:hint="eastAsia"/>
          <w:lang w:val="en-US" w:eastAsia="zh-CN"/>
        </w:rPr>
        <w:t>字</w:t>
      </w:r>
      <w:r>
        <w:rPr>
          <w:rFonts w:hint="eastAsia"/>
        </w:rPr>
        <w:t>、教研室主任签</w:t>
      </w:r>
      <w:r>
        <w:rPr>
          <w:rFonts w:hint="eastAsia"/>
          <w:lang w:val="en-US" w:eastAsia="zh-CN"/>
        </w:rPr>
        <w:t>字</w:t>
      </w:r>
      <w:r>
        <w:rPr>
          <w:rFonts w:hint="eastAsia"/>
          <w:lang w:eastAsia="zh-CN"/>
        </w:rPr>
        <w:t>，本人签</w:t>
      </w:r>
      <w:r>
        <w:rPr>
          <w:rFonts w:hint="eastAsia"/>
          <w:lang w:val="en-US" w:eastAsia="zh-CN"/>
        </w:rPr>
        <w:t>字</w:t>
      </w:r>
      <w:r>
        <w:rPr>
          <w:rFonts w:hint="eastAsia"/>
          <w:lang w:eastAsia="zh-CN"/>
        </w:rPr>
        <w:t>，不可代签</w:t>
      </w:r>
      <w:r>
        <w:rPr>
          <w:rFonts w:hint="eastAsia"/>
        </w:rPr>
        <w:t>。</w:t>
      </w:r>
      <w:r>
        <w:rPr>
          <w:rFonts w:hint="eastAsia"/>
          <w:lang w:eastAsia="zh-CN"/>
        </w:rPr>
        <w:t>多人共同授课的，所有任课教师均须签字。</w:t>
      </w:r>
      <w:r>
        <w:rPr>
          <w:rFonts w:hint="eastAsia"/>
        </w:rPr>
        <w:t>（</w:t>
      </w:r>
      <w:r>
        <w:rPr>
          <w:rFonts w:hint="eastAsia"/>
          <w:lang w:val="en-US" w:eastAsia="zh-CN"/>
        </w:rPr>
        <w:t>c</w:t>
      </w:r>
      <w:r>
        <w:rPr>
          <w:rFonts w:hint="eastAsia"/>
        </w:rPr>
        <w:t>）</w:t>
      </w:r>
      <w:r>
        <w:rPr>
          <w:rFonts w:hint="eastAsia"/>
          <w:lang w:val="en-US" w:eastAsia="zh-CN"/>
        </w:rPr>
        <w:t>成绩单一式两份，一份放入线上考试专用的A4材料袋存档，一份交至试卷归档学院教学办公室存档。</w:t>
      </w:r>
      <w:bookmarkStart w:id="72" w:name="_Toc2922"/>
      <w:bookmarkStart w:id="73" w:name="_Toc9559"/>
    </w:p>
    <w:p>
      <w:pPr>
        <w:bidi w:val="0"/>
        <w:ind w:left="0" w:leftChars="0" w:firstLine="0" w:firstLineChars="0"/>
        <w:rPr>
          <w:rFonts w:hint="eastAsia" w:ascii="仿宋" w:hAnsi="仿宋" w:eastAsia="仿宋" w:cs="仿宋"/>
          <w:b/>
          <w:bCs/>
          <w:lang w:val="en-US" w:eastAsia="zh-CN"/>
        </w:rPr>
      </w:pPr>
      <w:r>
        <w:rPr>
          <w:rFonts w:hint="eastAsia" w:ascii="仿宋" w:hAnsi="仿宋" w:eastAsia="仿宋" w:cs="仿宋"/>
          <w:b/>
          <w:bCs/>
          <w:lang w:eastAsia="zh-CN"/>
        </w:rPr>
        <w:t>（</w:t>
      </w:r>
      <w:r>
        <w:rPr>
          <w:rFonts w:hint="eastAsia" w:ascii="仿宋" w:hAnsi="仿宋" w:eastAsia="仿宋" w:cs="仿宋"/>
          <w:b/>
          <w:bCs/>
          <w:lang w:val="en-US" w:eastAsia="zh-CN"/>
        </w:rPr>
        <w:t>3</w:t>
      </w:r>
      <w:r>
        <w:rPr>
          <w:rFonts w:hint="eastAsia" w:ascii="仿宋" w:hAnsi="仿宋" w:eastAsia="仿宋" w:cs="仿宋"/>
          <w:b/>
          <w:bCs/>
          <w:lang w:eastAsia="zh-CN"/>
        </w:rPr>
        <w:t>）</w:t>
      </w:r>
      <w:r>
        <w:rPr>
          <w:rFonts w:hint="eastAsia" w:ascii="仿宋" w:hAnsi="仿宋" w:eastAsia="仿宋" w:cs="仿宋"/>
          <w:b/>
          <w:bCs/>
        </w:rPr>
        <w:t>学生平时成绩记录表</w:t>
      </w:r>
      <w:bookmarkEnd w:id="72"/>
      <w:bookmarkEnd w:id="73"/>
    </w:p>
    <w:p>
      <w:pPr>
        <w:bidi w:val="0"/>
        <w:rPr>
          <w:rFonts w:hint="eastAsia"/>
          <w:lang w:val="en-US" w:eastAsia="zh-CN"/>
        </w:rPr>
      </w:pPr>
      <w:r>
        <w:rPr>
          <w:rFonts w:hint="eastAsia"/>
          <w:lang w:val="en-US" w:eastAsia="zh-CN"/>
        </w:rPr>
        <w:t>（a）杜绝仅用出勤考核作为唯一平时成绩，鼓励教师创新考核模式，采取多样化考核平时学习成效，原则上不少于三种评价形式。平时成绩的考评应具有合理性、真实性，任课教师需保留平时成绩打分依据备查。（b）各项平时成绩的分布、权重，按该课程教学大纲规定，由各教研室研究决定。同一门课程应采用相同的评分标准。原则上，平时成绩占30%-40％，期末考试成绩占70%-60％。（c）平时成绩记录用明确分数记录，学院统一以百分制记录，并在表上说明每个类别对应的分数。每一项考核内容都需设定比重，如：作业成绩占平时成绩20%，上机占平时成绩的30%等。（d）学生平时成绩记录表一式两份，一份放入线上考试专用的A4材料袋存档，一份交至试卷归档学院教学办公室存档。</w:t>
      </w:r>
    </w:p>
    <w:p>
      <w:pPr>
        <w:keepNext w:val="0"/>
        <w:keepLines w:val="0"/>
        <w:pageBreakBefore w:val="0"/>
        <w:widowControl w:val="0"/>
        <w:kinsoku/>
        <w:wordWrap/>
        <w:overflowPunct/>
        <w:topLinePunct w:val="0"/>
        <w:autoSpaceDE/>
        <w:autoSpaceDN/>
        <w:bidi w:val="0"/>
        <w:adjustRightInd/>
        <w:snapToGrid/>
        <w:ind w:left="321" w:leftChars="0" w:hanging="321" w:hangingChars="100"/>
        <w:textAlignment w:val="auto"/>
        <w:rPr>
          <w:rStyle w:val="14"/>
          <w:rFonts w:hint="eastAsia" w:ascii="仿宋" w:hAnsi="仿宋" w:eastAsia="仿宋" w:cs="仿宋"/>
          <w:highlight w:val="none"/>
        </w:rPr>
      </w:pPr>
      <w:bookmarkStart w:id="74" w:name="_Toc9459"/>
      <w:bookmarkStart w:id="75" w:name="_Toc12758"/>
      <w:bookmarkStart w:id="76" w:name="_Toc13054"/>
      <w:bookmarkStart w:id="77" w:name="_Toc3035"/>
      <w:bookmarkStart w:id="78" w:name="_Toc32660"/>
      <w:bookmarkStart w:id="79" w:name="_Toc1607"/>
      <w:bookmarkStart w:id="80" w:name="_Toc10"/>
      <w:bookmarkStart w:id="81" w:name="_Toc22546"/>
      <w:bookmarkStart w:id="82" w:name="_Toc24940"/>
      <w:bookmarkStart w:id="83" w:name="_Toc26490"/>
      <w:bookmarkStart w:id="84" w:name="_Toc25452"/>
      <w:r>
        <w:rPr>
          <w:rStyle w:val="14"/>
          <w:rFonts w:hint="eastAsia" w:ascii="仿宋" w:hAnsi="仿宋" w:eastAsia="仿宋" w:cs="仿宋"/>
          <w:highlight w:val="none"/>
        </w:rPr>
        <w:t>（</w:t>
      </w:r>
      <w:r>
        <w:rPr>
          <w:rStyle w:val="14"/>
          <w:rFonts w:hint="eastAsia" w:ascii="仿宋" w:hAnsi="仿宋" w:eastAsia="仿宋" w:cs="仿宋"/>
          <w:highlight w:val="none"/>
          <w:lang w:val="en-US"/>
        </w:rPr>
        <w:t>4</w:t>
      </w:r>
      <w:r>
        <w:rPr>
          <w:rStyle w:val="14"/>
          <w:rFonts w:hint="eastAsia" w:ascii="仿宋" w:hAnsi="仿宋" w:eastAsia="仿宋" w:cs="仿宋"/>
          <w:highlight w:val="none"/>
        </w:rPr>
        <w:t>）学生成绩统计与试题分析表</w:t>
      </w:r>
      <w:bookmarkEnd w:id="74"/>
      <w:bookmarkEnd w:id="75"/>
      <w:bookmarkEnd w:id="76"/>
      <w:bookmarkEnd w:id="77"/>
      <w:bookmarkEnd w:id="78"/>
      <w:bookmarkEnd w:id="79"/>
      <w:bookmarkEnd w:id="80"/>
      <w:bookmarkEnd w:id="81"/>
      <w:bookmarkEnd w:id="82"/>
      <w:bookmarkEnd w:id="83"/>
    </w:p>
    <w:bookmarkEnd w:id="84"/>
    <w:p>
      <w:pPr>
        <w:bidi w:val="0"/>
        <w:rPr>
          <w:rFonts w:hint="eastAsia"/>
          <w:lang w:val="en-US" w:eastAsia="zh-CN"/>
        </w:rPr>
      </w:pPr>
      <w:r>
        <w:rPr>
          <w:rFonts w:hint="eastAsia"/>
        </w:rPr>
        <w:t>（</w:t>
      </w:r>
      <w:r>
        <w:rPr>
          <w:rFonts w:hint="eastAsia"/>
          <w:lang w:val="en-US" w:eastAsia="zh-CN"/>
        </w:rPr>
        <w:t>a</w:t>
      </w:r>
      <w:r>
        <w:rPr>
          <w:rFonts w:hint="eastAsia"/>
        </w:rPr>
        <w:t>）分析表中每个空格均需填写完整。表中所列内容如考试人数、缺考人数、缓考人数、平均分、最高分等均需填写（系统不能自动生成的数据需手动填写）。（</w:t>
      </w:r>
      <w:r>
        <w:rPr>
          <w:rFonts w:hint="eastAsia"/>
          <w:lang w:val="en-US" w:eastAsia="zh-CN"/>
        </w:rPr>
        <w:t>b</w:t>
      </w:r>
      <w:r>
        <w:rPr>
          <w:rFonts w:hint="eastAsia"/>
        </w:rPr>
        <w:t>）综合成绩的构成应和课程教学大纲规定的考核标准一致。（</w:t>
      </w:r>
      <w:r>
        <w:rPr>
          <w:rFonts w:hint="eastAsia"/>
          <w:lang w:val="en-US" w:eastAsia="zh-CN"/>
        </w:rPr>
        <w:t>c</w:t>
      </w:r>
      <w:r>
        <w:rPr>
          <w:rFonts w:hint="eastAsia"/>
        </w:rPr>
        <w:t>）成绩直方图分析由期末考试成绩和综合成绩两部</w:t>
      </w:r>
      <w:r>
        <w:rPr>
          <w:rFonts w:hint="eastAsia"/>
        </w:rPr>
        <w:br w:type="textWrapping"/>
      </w:r>
      <w:r>
        <w:rPr>
          <w:rFonts w:hint="eastAsia"/>
        </w:rPr>
        <w:t>分组成。（</w:t>
      </w:r>
      <w:r>
        <w:rPr>
          <w:rFonts w:hint="eastAsia"/>
          <w:lang w:val="en-US" w:eastAsia="zh-CN"/>
        </w:rPr>
        <w:t>d</w:t>
      </w:r>
      <w:r>
        <w:rPr>
          <w:rFonts w:hint="eastAsia"/>
        </w:rPr>
        <w:t>）试卷分</w:t>
      </w:r>
      <w:r>
        <w:rPr>
          <w:rFonts w:hint="eastAsia"/>
          <w:lang w:val="en-US" w:eastAsia="zh-CN"/>
        </w:rPr>
        <w:t xml:space="preserve"> </w:t>
      </w:r>
      <w:r>
        <w:rPr>
          <w:rFonts w:hint="eastAsia"/>
        </w:rPr>
        <w:t>析仅对期末考试的卷面成绩进行分析（非综合成绩）。分析要体现试题内容是否符合教学大纲中对知识、能力的达成度，是否覆盖课程的基本内容并体现课程的重点、难点及学时分布，结论要能反馈、指导教学。（</w:t>
      </w:r>
      <w:r>
        <w:rPr>
          <w:rFonts w:hint="eastAsia"/>
          <w:lang w:val="en-US" w:eastAsia="zh-CN"/>
        </w:rPr>
        <w:t>e</w:t>
      </w:r>
      <w:r>
        <w:rPr>
          <w:rFonts w:hint="eastAsia"/>
        </w:rPr>
        <w:t>）改进措施要填写详细，针对试卷分析存在的问题提出具体解决改进办法，既要总结学生的学习问题，又要总结教师的授课问题，体现客观性和全面性。</w:t>
      </w:r>
      <w:r>
        <w:rPr>
          <w:rFonts w:hint="eastAsia"/>
          <w:lang w:eastAsia="zh-CN"/>
        </w:rPr>
        <w:t>（</w:t>
      </w:r>
      <w:r>
        <w:rPr>
          <w:rFonts w:hint="eastAsia"/>
          <w:lang w:val="en-US" w:eastAsia="zh-CN"/>
        </w:rPr>
        <w:t>f）</w:t>
      </w:r>
      <w:r>
        <w:rPr>
          <w:rFonts w:hint="eastAsia"/>
          <w:lang w:eastAsia="zh-CN"/>
        </w:rPr>
        <w:t>试卷分析表不能每门课程写的一模一样，要保证分析具有针对性、全面性、多样性。</w:t>
      </w:r>
      <w:r>
        <w:rPr>
          <w:rFonts w:hint="eastAsia"/>
        </w:rPr>
        <w:br w:type="textWrapping"/>
      </w:r>
      <w:r>
        <w:rPr>
          <w:rFonts w:hint="eastAsia"/>
        </w:rPr>
        <w:t>（</w:t>
      </w:r>
      <w:r>
        <w:rPr>
          <w:rFonts w:hint="eastAsia"/>
          <w:lang w:val="en-US" w:eastAsia="zh-CN"/>
        </w:rPr>
        <w:t>g</w:t>
      </w:r>
      <w:r>
        <w:rPr>
          <w:rFonts w:hint="eastAsia"/>
        </w:rPr>
        <w:t>）分析表中任课教师</w:t>
      </w:r>
      <w:r>
        <w:rPr>
          <w:rFonts w:hint="eastAsia"/>
          <w:lang w:eastAsia="zh-CN"/>
        </w:rPr>
        <w:t>。</w:t>
      </w:r>
      <w:r>
        <w:rPr>
          <w:rFonts w:hint="eastAsia"/>
        </w:rPr>
        <w:t>多人共同授课的，所有任课教师均须签字。教研室主任签字需完整。</w:t>
      </w:r>
      <w:r>
        <w:rPr>
          <w:rFonts w:hint="eastAsia"/>
          <w:lang w:eastAsia="zh-CN"/>
        </w:rPr>
        <w:t>（</w:t>
      </w:r>
      <w:r>
        <w:rPr>
          <w:rFonts w:hint="eastAsia"/>
          <w:lang w:val="en-US" w:eastAsia="zh-CN"/>
        </w:rPr>
        <w:t>h）试卷分析表</w:t>
      </w:r>
      <w:r>
        <w:rPr>
          <w:rFonts w:hint="eastAsia"/>
        </w:rPr>
        <w:t>一式两份，</w:t>
      </w:r>
      <w:r>
        <w:rPr>
          <w:rFonts w:hint="eastAsia"/>
          <w:lang w:val="en-US" w:eastAsia="zh-CN"/>
        </w:rPr>
        <w:t>一份放入线上考试专用的A4材料袋存档，一份交至试卷归档学院教学办公室存档。</w:t>
      </w:r>
    </w:p>
    <w:p>
      <w:pPr>
        <w:keepNext w:val="0"/>
        <w:keepLines w:val="0"/>
        <w:pageBreakBefore w:val="0"/>
        <w:widowControl w:val="0"/>
        <w:kinsoku/>
        <w:wordWrap/>
        <w:overflowPunct/>
        <w:topLinePunct w:val="0"/>
        <w:autoSpaceDE/>
        <w:autoSpaceDN/>
        <w:bidi w:val="0"/>
        <w:adjustRightInd/>
        <w:snapToGrid/>
        <w:ind w:left="0" w:leftChars="0" w:firstLine="0" w:firstLineChars="0"/>
        <w:textAlignment w:val="auto"/>
        <w:rPr>
          <w:rFonts w:hint="eastAsia" w:ascii="仿宋" w:hAnsi="仿宋" w:eastAsia="仿宋" w:cs="仿宋"/>
          <w:b/>
          <w:bCs/>
        </w:rPr>
      </w:pPr>
      <w:bookmarkStart w:id="85" w:name="_Toc17092"/>
      <w:bookmarkStart w:id="86" w:name="_Toc28416"/>
      <w:r>
        <w:rPr>
          <w:rFonts w:hint="eastAsia" w:ascii="仿宋" w:hAnsi="仿宋" w:eastAsia="仿宋" w:cs="仿宋"/>
          <w:b/>
          <w:bCs/>
        </w:rPr>
        <w:t>（</w:t>
      </w:r>
      <w:r>
        <w:rPr>
          <w:rFonts w:hint="eastAsia" w:ascii="仿宋" w:hAnsi="仿宋" w:eastAsia="仿宋" w:cs="仿宋"/>
          <w:b/>
          <w:bCs/>
          <w:lang w:val="en-US"/>
        </w:rPr>
        <w:t>5</w:t>
      </w:r>
      <w:r>
        <w:rPr>
          <w:rFonts w:hint="eastAsia" w:ascii="仿宋" w:hAnsi="仿宋" w:eastAsia="仿宋" w:cs="仿宋"/>
          <w:b/>
          <w:bCs/>
        </w:rPr>
        <w:t>）参考答案及评分标准</w:t>
      </w:r>
      <w:bookmarkEnd w:id="85"/>
      <w:bookmarkEnd w:id="86"/>
    </w:p>
    <w:p>
      <w:pPr>
        <w:keepNext w:val="0"/>
        <w:keepLines w:val="0"/>
        <w:pageBreakBefore w:val="0"/>
        <w:widowControl w:val="0"/>
        <w:kinsoku/>
        <w:wordWrap/>
        <w:overflowPunct/>
        <w:topLinePunct w:val="0"/>
        <w:autoSpaceDE/>
        <w:autoSpaceDN/>
        <w:bidi w:val="0"/>
        <w:adjustRightInd/>
        <w:snapToGrid/>
        <w:ind w:left="320" w:leftChars="100" w:firstLine="320" w:firstLineChars="100"/>
        <w:textAlignment w:val="auto"/>
        <w:rPr>
          <w:rFonts w:hint="eastAsia" w:ascii="仿宋" w:hAnsi="仿宋" w:eastAsia="仿宋" w:cs="仿宋"/>
          <w:kern w:val="2"/>
          <w:sz w:val="32"/>
          <w:szCs w:val="24"/>
          <w:highlight w:val="none"/>
          <w:lang w:val="en-US" w:eastAsia="zh-CN" w:bidi="ar-SA"/>
        </w:rPr>
      </w:pPr>
      <w:r>
        <w:rPr>
          <w:rFonts w:hint="eastAsia" w:ascii="仿宋" w:hAnsi="仿宋" w:eastAsia="仿宋" w:cs="仿宋"/>
        </w:rPr>
        <w:t>（</w:t>
      </w:r>
      <w:r>
        <w:rPr>
          <w:rFonts w:hint="eastAsia" w:ascii="仿宋" w:hAnsi="仿宋" w:eastAsia="仿宋" w:cs="仿宋"/>
          <w:lang w:val="en-US" w:eastAsia="zh-CN"/>
        </w:rPr>
        <w:t>a</w:t>
      </w:r>
      <w:r>
        <w:rPr>
          <w:rFonts w:hint="eastAsia" w:ascii="仿宋" w:hAnsi="仿宋" w:eastAsia="仿宋" w:cs="仿宋"/>
        </w:rPr>
        <w:t>）试卷中所有题目均应制定详细的参考答案与评分标准。参考答案与评分标准措辞应规范、严谨和全面，表述准确，无歧义。（</w:t>
      </w:r>
      <w:r>
        <w:rPr>
          <w:rFonts w:hint="eastAsia" w:ascii="仿宋" w:hAnsi="仿宋" w:eastAsia="仿宋" w:cs="仿宋"/>
          <w:lang w:val="en-US" w:eastAsia="zh-CN"/>
        </w:rPr>
        <w:t>b</w:t>
      </w:r>
      <w:r>
        <w:rPr>
          <w:rFonts w:hint="eastAsia" w:ascii="仿宋" w:hAnsi="仿宋" w:eastAsia="仿宋" w:cs="仿宋"/>
        </w:rPr>
        <w:t>）评分标准应每大题一个，并且写明大题内各小题分数，明确何种情况给分，何种情况不给分，何种情况可给部分分数。其中</w:t>
      </w:r>
      <w:r>
        <w:rPr>
          <w:rFonts w:hint="eastAsia" w:ascii="仿宋" w:hAnsi="仿宋" w:eastAsia="仿宋" w:cs="仿宋"/>
          <w:lang w:eastAsia="zh-CN"/>
        </w:rPr>
        <w:t>，</w:t>
      </w:r>
      <w:r>
        <w:rPr>
          <w:rFonts w:hint="eastAsia" w:ascii="仿宋" w:hAnsi="仿宋" w:eastAsia="仿宋" w:cs="仿宋"/>
        </w:rPr>
        <w:t>多项选择题、不定项选择题评分标准中需特别说明少选了选项的小题如何记分</w:t>
      </w:r>
      <w:r>
        <w:rPr>
          <w:rFonts w:hint="eastAsia" w:ascii="仿宋" w:hAnsi="仿宋" w:eastAsia="仿宋" w:cs="仿宋"/>
          <w:lang w:eastAsia="zh-CN"/>
        </w:rPr>
        <w:t>。</w:t>
      </w:r>
      <w:r>
        <w:rPr>
          <w:rFonts w:hint="eastAsia" w:ascii="仿宋" w:hAnsi="仿宋" w:eastAsia="仿宋" w:cs="仿宋"/>
        </w:rPr>
        <w:t>与参考答案意义相同或相近但表述方式不同的如何记分；主观题给出每试题参考答案根据各个解题步骤或知识点进行分值分配，并按每一得分点逐个列示。</w:t>
      </w:r>
      <w:r>
        <w:rPr>
          <w:rFonts w:hint="eastAsia" w:ascii="仿宋" w:hAnsi="仿宋" w:eastAsia="仿宋" w:cs="仿宋"/>
          <w:lang w:eastAsia="zh-CN"/>
        </w:rPr>
        <w:t>（</w:t>
      </w:r>
      <w:r>
        <w:rPr>
          <w:rFonts w:hint="eastAsia" w:ascii="仿宋" w:hAnsi="仿宋" w:eastAsia="仿宋" w:cs="仿宋"/>
          <w:lang w:val="en-US" w:eastAsia="zh-CN"/>
        </w:rPr>
        <w:t>c）AB卷两套，用于考试的A卷参考答案及评分标准存入档案袋；B卷参考答案及评分标准单独存档于教学档案室。</w:t>
      </w:r>
      <w:r>
        <w:rPr>
          <w:rFonts w:hint="eastAsia" w:ascii="仿宋" w:hAnsi="仿宋" w:eastAsia="仿宋" w:cs="仿宋"/>
        </w:rPr>
        <w:br w:type="textWrapping"/>
      </w:r>
      <w:r>
        <w:rPr>
          <w:rStyle w:val="16"/>
          <w:rFonts w:hint="eastAsia"/>
          <w:lang w:eastAsia="zh-CN"/>
        </w:rPr>
        <w:t>（</w:t>
      </w:r>
      <w:r>
        <w:rPr>
          <w:rStyle w:val="16"/>
          <w:rFonts w:hint="eastAsia"/>
          <w:lang w:val="en-US" w:eastAsia="zh-CN"/>
        </w:rPr>
        <w:t>6</w:t>
      </w:r>
      <w:r>
        <w:rPr>
          <w:rStyle w:val="16"/>
          <w:rFonts w:hint="eastAsia"/>
          <w:lang w:eastAsia="zh-CN"/>
        </w:rPr>
        <w:t>）</w:t>
      </w:r>
      <w:r>
        <w:rPr>
          <w:rStyle w:val="16"/>
          <w:rFonts w:hint="eastAsia"/>
        </w:rPr>
        <w:t>空白试卷</w:t>
      </w:r>
      <w:r>
        <w:rPr>
          <w:rFonts w:hint="eastAsia"/>
          <w:highlight w:val="none"/>
        </w:rPr>
        <w:br w:type="textWrapping"/>
      </w:r>
      <w:r>
        <w:rPr>
          <w:rFonts w:hint="eastAsia"/>
          <w:highlight w:val="none"/>
          <w:lang w:val="en-US" w:eastAsia="zh-CN"/>
        </w:rPr>
        <w:t xml:space="preserve">  </w:t>
      </w:r>
      <w:r>
        <w:rPr>
          <w:rFonts w:hint="eastAsia" w:ascii="仿宋" w:hAnsi="仿宋" w:eastAsia="仿宋" w:cs="仿宋"/>
          <w:b w:val="0"/>
          <w:bCs w:val="0"/>
          <w:highlight w:val="none"/>
          <w:lang w:val="en-US" w:eastAsia="zh-CN"/>
        </w:rPr>
        <w:t>（a）大小标准：</w:t>
      </w:r>
      <w:r>
        <w:rPr>
          <w:rFonts w:hint="eastAsia" w:ascii="仿宋" w:hAnsi="仿宋" w:eastAsia="仿宋" w:cs="仿宋"/>
          <w:b w:val="0"/>
          <w:bCs w:val="0"/>
          <w:highlight w:val="none"/>
        </w:rPr>
        <w:t>A3/A4均可</w:t>
      </w:r>
      <w:r>
        <w:rPr>
          <w:rFonts w:hint="eastAsia" w:ascii="仿宋" w:hAnsi="仿宋" w:eastAsia="仿宋" w:cs="仿宋"/>
          <w:b w:val="0"/>
          <w:bCs w:val="0"/>
          <w:highlight w:val="none"/>
          <w:lang w:eastAsia="zh-CN"/>
        </w:rPr>
        <w:t>。</w:t>
      </w:r>
      <w:r>
        <w:rPr>
          <w:rFonts w:hint="eastAsia" w:ascii="仿宋" w:hAnsi="仿宋" w:eastAsia="仿宋" w:cs="仿宋"/>
          <w:kern w:val="2"/>
          <w:sz w:val="32"/>
          <w:szCs w:val="24"/>
          <w:highlight w:val="none"/>
          <w:lang w:val="en-US" w:eastAsia="zh-CN" w:bidi="ar-SA"/>
        </w:rPr>
        <w:t>（b）空白试卷：空白试卷应与答题纸、评分标准和参考答案一并存放归档材料袋。AB两套空白试卷，用于考试的A卷存入档案袋；B卷单独存档于教学档案室。</w:t>
      </w:r>
      <w:bookmarkStart w:id="87" w:name="_Toc31251"/>
      <w:bookmarkStart w:id="88" w:name="_Toc6203"/>
      <w:bookmarkStart w:id="89" w:name="_Toc1352"/>
      <w:bookmarkStart w:id="90" w:name="_Toc32689"/>
      <w:bookmarkStart w:id="91" w:name="_Toc20843"/>
    </w:p>
    <w:p>
      <w:pPr>
        <w:bidi w:val="0"/>
        <w:ind w:left="0" w:leftChars="0" w:firstLine="0" w:firstLineChars="0"/>
        <w:rPr>
          <w:rFonts w:hint="eastAsia" w:ascii="仿宋" w:hAnsi="仿宋" w:eastAsia="仿宋" w:cs="仿宋"/>
          <w:b/>
          <w:bCs/>
          <w:lang w:val="en-US" w:eastAsia="zh-CN"/>
        </w:rPr>
      </w:pPr>
      <w:r>
        <w:rPr>
          <w:rFonts w:hint="eastAsia" w:ascii="仿宋" w:hAnsi="仿宋" w:eastAsia="仿宋" w:cs="仿宋"/>
          <w:b/>
          <w:bCs/>
          <w:lang w:val="en-US" w:eastAsia="zh-CN"/>
        </w:rPr>
        <w:t>（7）考场签到表</w:t>
      </w:r>
      <w:bookmarkEnd w:id="87"/>
      <w:bookmarkEnd w:id="88"/>
      <w:bookmarkEnd w:id="89"/>
      <w:bookmarkEnd w:id="90"/>
      <w:bookmarkEnd w:id="91"/>
    </w:p>
    <w:p>
      <w:pPr>
        <w:pStyle w:val="11"/>
        <w:keepNext w:val="0"/>
        <w:keepLines w:val="0"/>
        <w:widowControl w:val="0"/>
        <w:suppressLineNumbers w:val="0"/>
        <w:spacing w:before="0" w:beforeAutospacing="0" w:after="0" w:afterAutospacing="0"/>
        <w:ind w:right="0"/>
        <w:jc w:val="left"/>
        <w:rPr>
          <w:rFonts w:hint="default" w:ascii="仿宋" w:hAnsi="仿宋" w:eastAsia="仿宋" w:cs="仿宋"/>
          <w:i w:val="0"/>
          <w:iCs w:val="0"/>
          <w:caps w:val="0"/>
          <w:color w:val="000000"/>
          <w:spacing w:val="0"/>
          <w:sz w:val="32"/>
          <w:szCs w:val="32"/>
          <w:highlight w:val="none"/>
          <w:vertAlign w:val="baseline"/>
          <w:lang w:val="en-US" w:eastAsia="zh-CN"/>
        </w:rPr>
      </w:pPr>
      <w:r>
        <w:rPr>
          <w:rFonts w:hint="eastAsia" w:ascii="仿宋" w:hAnsi="仿宋" w:eastAsia="仿宋" w:cs="仿宋"/>
          <w:sz w:val="32"/>
          <w:szCs w:val="32"/>
          <w:lang w:val="en-US" w:eastAsia="zh-CN"/>
        </w:rPr>
        <w:t>填写要求按照《皖江工学院试卷批阅及归档规范管理办法（修订）》执行，放入线上考试专用的A4材料袋存档。</w:t>
      </w:r>
      <w:r>
        <w:rPr>
          <w:rFonts w:hint="eastAsia" w:ascii="仿宋" w:hAnsi="仿宋" w:eastAsia="仿宋" w:cs="仿宋"/>
          <w:sz w:val="32"/>
          <w:szCs w:val="32"/>
          <w:lang w:val="en-US" w:eastAsia="zh-CN"/>
        </w:rPr>
        <w:br w:type="textWrapping"/>
      </w:r>
      <w:r>
        <w:rPr>
          <w:rStyle w:val="14"/>
          <w:rFonts w:hint="eastAsia" w:ascii="仿宋" w:hAnsi="仿宋" w:eastAsia="仿宋" w:cs="仿宋"/>
          <w:sz w:val="32"/>
          <w:szCs w:val="32"/>
          <w:lang w:val="en-US" w:eastAsia="zh-CN"/>
        </w:rPr>
        <w:t>3.试卷编辑</w:t>
      </w:r>
    </w:p>
    <w:p>
      <w:pPr>
        <w:pStyle w:val="11"/>
        <w:keepNext w:val="0"/>
        <w:keepLines w:val="0"/>
        <w:widowControl w:val="0"/>
        <w:suppressLineNumbers w:val="0"/>
        <w:spacing w:before="0" w:beforeAutospacing="0" w:after="0" w:afterAutospacing="0"/>
        <w:ind w:left="0" w:leftChars="0" w:right="0" w:firstLine="0" w:firstLineChars="0"/>
        <w:jc w:val="left"/>
        <w:rPr>
          <w:rFonts w:hint="eastAsia" w:ascii="仿宋" w:hAnsi="仿宋" w:eastAsia="仿宋" w:cs="仿宋"/>
          <w:i w:val="0"/>
          <w:iCs w:val="0"/>
          <w:caps w:val="0"/>
          <w:color w:val="000000"/>
          <w:spacing w:val="0"/>
          <w:sz w:val="32"/>
          <w:szCs w:val="32"/>
          <w:highlight w:val="none"/>
          <w:vertAlign w:val="baseline"/>
          <w:lang w:val="en-US" w:eastAsia="zh-CN"/>
        </w:rPr>
      </w:pPr>
      <w:bookmarkStart w:id="92" w:name="_Toc28397"/>
      <w:r>
        <w:rPr>
          <w:rStyle w:val="16"/>
          <w:rFonts w:hint="eastAsia" w:ascii="仿宋" w:hAnsi="仿宋" w:eastAsia="仿宋" w:cs="仿宋"/>
          <w:sz w:val="32"/>
          <w:szCs w:val="32"/>
          <w:lang w:val="en-US" w:eastAsia="zh-CN"/>
        </w:rPr>
        <w:t>（1）使用平台考试：</w:t>
      </w:r>
      <w:bookmarkEnd w:id="92"/>
      <w:r>
        <w:rPr>
          <w:rFonts w:hint="eastAsia" w:ascii="仿宋" w:hAnsi="仿宋" w:eastAsia="仿宋" w:cs="仿宋"/>
          <w:i w:val="0"/>
          <w:iCs w:val="0"/>
          <w:caps w:val="0"/>
          <w:color w:val="000000"/>
          <w:spacing w:val="0"/>
          <w:sz w:val="32"/>
          <w:szCs w:val="32"/>
          <w:highlight w:val="none"/>
          <w:vertAlign w:val="baseline"/>
          <w:lang w:val="en-US" w:eastAsia="zh-CN"/>
        </w:rPr>
        <w:t>使用超星等平台方式考试的，试卷以平台导出样式为准，导出每名学生的考试试卷，以“学号+姓名”方式命名，试卷评阅以平台导出的评阅样式为准。</w:t>
      </w:r>
    </w:p>
    <w:p>
      <w:pPr>
        <w:pStyle w:val="11"/>
        <w:keepNext w:val="0"/>
        <w:keepLines w:val="0"/>
        <w:widowControl w:val="0"/>
        <w:suppressLineNumbers w:val="0"/>
        <w:spacing w:before="0" w:beforeAutospacing="0" w:after="0" w:afterAutospacing="0"/>
        <w:ind w:left="0" w:leftChars="0" w:right="0" w:firstLine="0" w:firstLineChars="0"/>
        <w:jc w:val="left"/>
        <w:rPr>
          <w:rFonts w:hint="default" w:ascii="仿宋" w:hAnsi="仿宋" w:eastAsia="仿宋" w:cs="仿宋"/>
          <w:i w:val="0"/>
          <w:iCs w:val="0"/>
          <w:caps w:val="0"/>
          <w:color w:val="000000"/>
          <w:spacing w:val="0"/>
          <w:sz w:val="32"/>
          <w:szCs w:val="32"/>
          <w:highlight w:val="none"/>
          <w:vertAlign w:val="baseline"/>
          <w:lang w:val="en-US" w:eastAsia="zh-CN"/>
        </w:rPr>
      </w:pPr>
      <w:r>
        <w:rPr>
          <w:rFonts w:hint="eastAsia" w:ascii="仿宋" w:hAnsi="仿宋" w:eastAsia="仿宋" w:cs="仿宋"/>
          <w:b/>
          <w:bCs/>
          <w:i w:val="0"/>
          <w:iCs w:val="0"/>
          <w:caps w:val="0"/>
          <w:color w:val="000000"/>
          <w:spacing w:val="0"/>
          <w:sz w:val="32"/>
          <w:szCs w:val="32"/>
          <w:highlight w:val="none"/>
          <w:vertAlign w:val="baseline"/>
          <w:lang w:val="en-US" w:eastAsia="zh-CN"/>
        </w:rPr>
        <w:t>（2）不使用平台考试：</w:t>
      </w:r>
      <w:r>
        <w:rPr>
          <w:rFonts w:hint="eastAsia" w:ascii="仿宋" w:hAnsi="仿宋" w:eastAsia="仿宋" w:cs="仿宋"/>
          <w:i w:val="0"/>
          <w:iCs w:val="0"/>
          <w:caps w:val="0"/>
          <w:color w:val="000000"/>
          <w:spacing w:val="0"/>
          <w:sz w:val="32"/>
          <w:szCs w:val="32"/>
          <w:highlight w:val="none"/>
          <w:vertAlign w:val="baseline"/>
          <w:lang w:val="en-US" w:eastAsia="zh-CN"/>
        </w:rPr>
        <w:t>如考试系统无法直接导出学生完整试题及作答内容，需将学生上传的作答图片下载储存，并打印为A4纸质答卷后批改，同普通试卷一起存档，评阅要求和普通纸质试卷一致。</w:t>
      </w:r>
    </w:p>
    <w:p>
      <w:pPr>
        <w:pStyle w:val="11"/>
        <w:keepNext w:val="0"/>
        <w:keepLines w:val="0"/>
        <w:widowControl w:val="0"/>
        <w:suppressLineNumbers w:val="0"/>
        <w:spacing w:before="0" w:beforeAutospacing="0" w:after="0" w:afterAutospacing="0"/>
        <w:ind w:left="0" w:leftChars="0" w:right="0" w:firstLine="0" w:firstLineChars="0"/>
        <w:jc w:val="left"/>
        <w:rPr>
          <w:rFonts w:hint="eastAsia" w:eastAsia="仿宋" w:asciiTheme="minorAscii" w:hAnsiTheme="minorAscii" w:cstheme="minorBidi"/>
          <w:kern w:val="2"/>
          <w:sz w:val="32"/>
          <w:szCs w:val="24"/>
          <w:highlight w:val="none"/>
          <w:lang w:val="en-US" w:eastAsia="zh-CN" w:bidi="ar-SA"/>
        </w:rPr>
      </w:pPr>
      <w:r>
        <w:rPr>
          <w:rFonts w:hint="eastAsia" w:ascii="仿宋" w:hAnsi="仿宋" w:cs="仿宋"/>
          <w:b/>
          <w:bCs/>
          <w:i w:val="0"/>
          <w:iCs w:val="0"/>
          <w:caps w:val="0"/>
          <w:color w:val="000000"/>
          <w:spacing w:val="0"/>
          <w:sz w:val="32"/>
          <w:szCs w:val="32"/>
          <w:highlight w:val="none"/>
          <w:vertAlign w:val="baseline"/>
          <w:lang w:val="en-US" w:eastAsia="zh-CN"/>
        </w:rPr>
        <w:t>（</w:t>
      </w:r>
      <w:r>
        <w:rPr>
          <w:rFonts w:hint="eastAsia" w:ascii="仿宋" w:hAnsi="仿宋" w:eastAsia="仿宋" w:cs="仿宋"/>
          <w:b/>
          <w:bCs/>
          <w:i w:val="0"/>
          <w:iCs w:val="0"/>
          <w:caps w:val="0"/>
          <w:color w:val="000000"/>
          <w:spacing w:val="0"/>
          <w:sz w:val="32"/>
          <w:szCs w:val="32"/>
          <w:highlight w:val="none"/>
          <w:vertAlign w:val="baseline"/>
          <w:lang w:val="en-US" w:eastAsia="zh-CN"/>
        </w:rPr>
        <w:t>3）存在纸质试卷原因：</w:t>
      </w:r>
      <w:r>
        <w:rPr>
          <w:rFonts w:hint="eastAsia" w:ascii="仿宋" w:hAnsi="仿宋" w:eastAsia="仿宋" w:cs="仿宋"/>
          <w:sz w:val="32"/>
          <w:szCs w:val="32"/>
          <w:lang w:val="en-US" w:eastAsia="zh-CN"/>
        </w:rPr>
        <w:t>（少量）纸质试卷归档：考试过程中，如考生的考试系统因考试设备（手机等）突然损坏、者系统故障或其他不可抗力等原因导致的考生无法直接导出试题并及时作答者，可以将考生调整到事先准备的线下纸质试卷考场参加考试。此类考生的纸质试卷需按学号顺序从小到大排放。并存入档案袋。</w:t>
      </w:r>
      <w:r>
        <w:rPr>
          <w:rFonts w:hint="eastAsia" w:ascii="仿宋" w:hAnsi="仿宋" w:eastAsia="仿宋" w:cs="仿宋"/>
          <w:sz w:val="32"/>
          <w:szCs w:val="32"/>
          <w:lang w:val="en-US" w:eastAsia="zh-CN"/>
        </w:rPr>
        <w:br w:type="textWrapping"/>
      </w:r>
      <w:r>
        <w:rPr>
          <w:rFonts w:hint="eastAsia" w:ascii="仿宋" w:hAnsi="仿宋" w:eastAsia="仿宋" w:cs="仿宋"/>
          <w:b/>
          <w:bCs/>
          <w:kern w:val="2"/>
          <w:sz w:val="32"/>
          <w:szCs w:val="24"/>
          <w:highlight w:val="none"/>
          <w:lang w:val="en-US" w:eastAsia="zh-CN" w:bidi="ar-SA"/>
        </w:rPr>
        <w:t>4.命题要求</w:t>
      </w:r>
    </w:p>
    <w:p>
      <w:pPr>
        <w:pStyle w:val="11"/>
        <w:keepNext w:val="0"/>
        <w:keepLines w:val="0"/>
        <w:widowControl w:val="0"/>
        <w:suppressLineNumbers w:val="0"/>
        <w:spacing w:before="0" w:beforeAutospacing="0" w:after="0" w:afterAutospacing="0"/>
        <w:ind w:left="0" w:right="0" w:firstLine="640" w:firstLineChars="200"/>
        <w:jc w:val="left"/>
        <w:rPr>
          <w:rFonts w:hint="default" w:eastAsia="仿宋" w:asciiTheme="minorAscii" w:hAnsiTheme="minorAscii" w:cstheme="minorBidi"/>
          <w:kern w:val="2"/>
          <w:sz w:val="32"/>
          <w:szCs w:val="24"/>
          <w:highlight w:val="none"/>
          <w:lang w:val="en-US" w:eastAsia="zh-CN" w:bidi="ar-SA"/>
        </w:rPr>
      </w:pPr>
      <w:r>
        <w:rPr>
          <w:rFonts w:hint="eastAsia" w:eastAsia="仿宋" w:asciiTheme="minorAscii" w:hAnsiTheme="minorAscii" w:cstheme="minorBidi"/>
          <w:kern w:val="2"/>
          <w:sz w:val="32"/>
          <w:szCs w:val="24"/>
          <w:highlight w:val="none"/>
          <w:lang w:val="en-US" w:eastAsia="zh-CN" w:bidi="ar-SA"/>
        </w:rPr>
        <w:t>按照《皖江工学院考核环节质量标准》执行。</w:t>
      </w:r>
    </w:p>
    <w:p>
      <w:pPr>
        <w:numPr>
          <w:ilvl w:val="0"/>
          <w:numId w:val="0"/>
        </w:numPr>
        <w:bidi w:val="0"/>
        <w:rPr>
          <w:rFonts w:hint="eastAsia"/>
          <w:b/>
          <w:bCs/>
          <w:highlight w:val="none"/>
          <w:lang w:val="en-US" w:eastAsia="zh-CN"/>
        </w:rPr>
      </w:pPr>
      <w:r>
        <w:rPr>
          <w:rFonts w:hint="eastAsia"/>
          <w:b/>
          <w:bCs/>
          <w:highlight w:val="none"/>
          <w:lang w:val="en-US" w:eastAsia="zh-CN"/>
        </w:rPr>
        <w:t>（二）理论课线上考查类课程结课材料归档细则</w:t>
      </w:r>
    </w:p>
    <w:p>
      <w:pPr>
        <w:numPr>
          <w:ilvl w:val="0"/>
          <w:numId w:val="0"/>
        </w:numPr>
        <w:bidi w:val="0"/>
        <w:rPr>
          <w:rFonts w:hint="default"/>
          <w:highlight w:val="none"/>
          <w:lang w:val="en-US" w:eastAsia="zh-CN"/>
        </w:rPr>
      </w:pPr>
      <w:r>
        <w:rPr>
          <w:rFonts w:hint="eastAsia" w:ascii="仿宋" w:hAnsi="仿宋" w:eastAsia="仿宋" w:cs="仿宋"/>
          <w:b/>
          <w:bCs/>
          <w:highlight w:val="none"/>
          <w:lang w:val="en-US" w:eastAsia="zh-CN"/>
        </w:rPr>
        <w:t>1.线上考查类课程归档说明：</w:t>
      </w:r>
      <w:r>
        <w:rPr>
          <w:rFonts w:hint="eastAsia"/>
          <w:highlight w:val="none"/>
          <w:lang w:val="en-US" w:eastAsia="zh-CN"/>
        </w:rPr>
        <w:t>思政课课程体系中只有《形势与政策》课程属于考查类课程</w:t>
      </w:r>
    </w:p>
    <w:p>
      <w:pPr>
        <w:numPr>
          <w:ilvl w:val="0"/>
          <w:numId w:val="0"/>
        </w:numPr>
        <w:bidi w:val="0"/>
        <w:rPr>
          <w:rFonts w:hint="eastAsia"/>
          <w:b w:val="0"/>
          <w:bCs w:val="0"/>
          <w:highlight w:val="none"/>
          <w:lang w:val="en-US" w:eastAsia="zh-CN"/>
        </w:rPr>
      </w:pPr>
      <w:r>
        <w:rPr>
          <w:rFonts w:hint="eastAsia" w:ascii="仿宋" w:hAnsi="仿宋" w:eastAsia="仿宋" w:cs="仿宋"/>
          <w:b/>
          <w:bCs/>
          <w:highlight w:val="none"/>
          <w:lang w:val="en-US" w:eastAsia="zh-CN"/>
        </w:rPr>
        <w:t>2.</w:t>
      </w:r>
      <w:r>
        <w:rPr>
          <w:rFonts w:hint="eastAsia" w:ascii="仿宋" w:hAnsi="仿宋" w:eastAsia="仿宋" w:cs="仿宋"/>
          <w:b/>
          <w:bCs/>
          <w:highlight w:val="none"/>
          <w:lang w:eastAsia="zh-CN"/>
        </w:rPr>
        <w:t>线上考查类</w:t>
      </w:r>
      <w:r>
        <w:rPr>
          <w:rFonts w:hint="eastAsia" w:ascii="仿宋" w:hAnsi="仿宋" w:eastAsia="仿宋" w:cs="仿宋"/>
          <w:b/>
          <w:bCs/>
          <w:highlight w:val="none"/>
          <w:lang w:val="en-US" w:eastAsia="zh-CN"/>
        </w:rPr>
        <w:t>课纸质归档材料包括：</w:t>
      </w:r>
      <w:r>
        <w:rPr>
          <w:rFonts w:hint="eastAsia"/>
          <w:highlight w:val="none"/>
          <w:lang w:val="en-US" w:eastAsia="zh-CN"/>
        </w:rPr>
        <w:t>空白任务书、参考答案及评分标准、学生原始成绩、学生平时成绩记录表、学生成绩统计与试卷分析表，共计5类材料按照每门课程各任课教师所带专业班级人数全部归档在内。</w:t>
      </w:r>
      <w:r>
        <w:rPr>
          <w:rFonts w:hint="eastAsia"/>
          <w:b w:val="0"/>
          <w:bCs w:val="0"/>
          <w:highlight w:val="none"/>
          <w:lang w:val="en-US" w:eastAsia="zh-CN"/>
        </w:rPr>
        <w:t>教研室根据开课计划，收集各任课教师按照此文件归档标准归档的且被教研室审查合格的归档材料，统一整理齐全后交至教学秘书处。</w:t>
      </w:r>
    </w:p>
    <w:p>
      <w:pPr>
        <w:pStyle w:val="2"/>
        <w:bidi w:val="0"/>
        <w:ind w:left="0" w:leftChars="0" w:firstLine="0" w:firstLineChars="0"/>
        <w:jc w:val="left"/>
        <w:rPr>
          <w:rFonts w:hint="eastAsia" w:ascii="仿宋" w:hAnsi="仿宋" w:eastAsia="仿宋" w:cs="仿宋"/>
          <w:b w:val="0"/>
          <w:bCs/>
          <w:highlight w:val="none"/>
          <w:lang w:val="en-US" w:eastAsia="zh-CN"/>
        </w:rPr>
      </w:pPr>
      <w:bookmarkStart w:id="93" w:name="_Toc26977"/>
      <w:bookmarkStart w:id="94" w:name="_Toc25657"/>
      <w:bookmarkStart w:id="95" w:name="_Toc8811"/>
      <w:bookmarkStart w:id="96" w:name="_Toc4077"/>
      <w:bookmarkStart w:id="97" w:name="_Toc6925"/>
      <w:bookmarkStart w:id="98" w:name="_Toc12139"/>
      <w:bookmarkStart w:id="99" w:name="_Toc29277"/>
      <w:bookmarkStart w:id="100" w:name="_Toc25599"/>
      <w:bookmarkStart w:id="101" w:name="_Toc14313"/>
      <w:bookmarkStart w:id="102" w:name="_Toc152"/>
      <w:bookmarkStart w:id="103" w:name="_Toc24045"/>
      <w:r>
        <w:rPr>
          <w:rFonts w:hint="eastAsia"/>
          <w:highlight w:val="none"/>
          <w:lang w:val="en-US" w:eastAsia="zh-CN"/>
        </w:rPr>
        <w:t>3.</w:t>
      </w:r>
      <w:r>
        <w:rPr>
          <w:rFonts w:hint="eastAsia"/>
          <w:highlight w:val="none"/>
          <w:lang w:eastAsia="zh-CN"/>
        </w:rPr>
        <w:t>线上考查类课电子</w:t>
      </w:r>
      <w:bookmarkEnd w:id="93"/>
      <w:bookmarkEnd w:id="94"/>
      <w:bookmarkEnd w:id="95"/>
      <w:bookmarkEnd w:id="96"/>
      <w:r>
        <w:rPr>
          <w:rFonts w:hint="eastAsia"/>
          <w:highlight w:val="none"/>
          <w:lang w:eastAsia="zh-CN"/>
        </w:rPr>
        <w:t>资料</w:t>
      </w:r>
      <w:r>
        <w:rPr>
          <w:rFonts w:hint="eastAsia"/>
          <w:highlight w:val="none"/>
          <w:lang w:val="en-US" w:eastAsia="zh-CN"/>
        </w:rPr>
        <w:t>归档细则</w:t>
      </w:r>
      <w:bookmarkEnd w:id="97"/>
      <w:bookmarkEnd w:id="98"/>
      <w:bookmarkEnd w:id="99"/>
      <w:bookmarkEnd w:id="100"/>
      <w:bookmarkEnd w:id="101"/>
      <w:bookmarkEnd w:id="102"/>
      <w:r>
        <w:rPr>
          <w:rFonts w:hint="eastAsia"/>
          <w:highlight w:val="none"/>
          <w:lang w:val="en-US" w:eastAsia="zh-CN"/>
        </w:rPr>
        <w:t>：</w:t>
      </w:r>
      <w:r>
        <w:rPr>
          <w:rFonts w:hint="eastAsia" w:ascii="仿宋" w:hAnsi="仿宋" w:eastAsia="仿宋" w:cs="仿宋"/>
          <w:b w:val="0"/>
          <w:bCs/>
          <w:highlight w:val="none"/>
          <w:lang w:val="en-US" w:eastAsia="zh-CN"/>
        </w:rPr>
        <w:t>学院只有《形势与政策》课属于考查类课程，学院统一以小论文形式结课。小论文的任务书模板学院统一格式。学院以word格式电子稿储存，按照每个学期1门课程1个U盘进行储存。考查类课程的电子结课材料的文件夹储存命名方式，参照理论课线上考试类电子试卷的命名方式命名。</w:t>
      </w:r>
      <w:bookmarkEnd w:id="103"/>
    </w:p>
    <w:p>
      <w:pPr>
        <w:pStyle w:val="2"/>
        <w:bidi w:val="0"/>
        <w:rPr>
          <w:rFonts w:hint="eastAsia"/>
          <w:b/>
          <w:bCs w:val="0"/>
          <w:lang w:val="en-US" w:eastAsia="zh-CN"/>
        </w:rPr>
      </w:pPr>
      <w:bookmarkStart w:id="104" w:name="_Toc27032"/>
      <w:r>
        <w:rPr>
          <w:rFonts w:hint="eastAsia"/>
          <w:b/>
          <w:bCs w:val="0"/>
          <w:lang w:val="en-US" w:eastAsia="zh-CN"/>
        </w:rPr>
        <w:t>三、实践课结课材料归档</w:t>
      </w:r>
      <w:bookmarkEnd w:id="104"/>
      <w:bookmarkStart w:id="105" w:name="_Toc29897"/>
      <w:bookmarkStart w:id="106" w:name="_Toc2823"/>
      <w:bookmarkStart w:id="107" w:name="_Toc28485"/>
      <w:bookmarkStart w:id="108" w:name="_Toc30065"/>
      <w:bookmarkStart w:id="109" w:name="_Toc20878"/>
      <w:bookmarkStart w:id="110" w:name="_Toc2090"/>
      <w:bookmarkStart w:id="111" w:name="_Toc4500"/>
      <w:bookmarkStart w:id="112" w:name="_Toc2503"/>
      <w:bookmarkStart w:id="113" w:name="_Toc29804"/>
      <w:bookmarkStart w:id="114" w:name="_Toc27526"/>
    </w:p>
    <w:p>
      <w:pPr>
        <w:bidi w:val="0"/>
        <w:ind w:left="0" w:leftChars="0" w:firstLine="0" w:firstLineChars="0"/>
        <w:rPr>
          <w:rFonts w:hint="eastAsia"/>
          <w:highlight w:val="none"/>
          <w:lang w:val="en-US" w:eastAsia="zh-CN"/>
        </w:rPr>
      </w:pPr>
      <w:r>
        <w:rPr>
          <w:rFonts w:hint="eastAsia"/>
          <w:b/>
          <w:bCs/>
          <w:lang w:val="en-US" w:eastAsia="zh-CN"/>
        </w:rPr>
        <w:t>（一）</w:t>
      </w:r>
      <w:bookmarkEnd w:id="105"/>
      <w:bookmarkEnd w:id="106"/>
      <w:bookmarkEnd w:id="107"/>
      <w:bookmarkEnd w:id="108"/>
      <w:bookmarkEnd w:id="109"/>
      <w:bookmarkEnd w:id="110"/>
      <w:bookmarkEnd w:id="111"/>
      <w:bookmarkEnd w:id="112"/>
      <w:bookmarkEnd w:id="113"/>
      <w:bookmarkEnd w:id="114"/>
      <w:r>
        <w:rPr>
          <w:rFonts w:hint="eastAsia"/>
          <w:b/>
          <w:bCs/>
          <w:highlight w:val="none"/>
          <w:lang w:val="en-US" w:eastAsia="zh-CN"/>
        </w:rPr>
        <w:t>实践报告册标准：</w:t>
      </w:r>
      <w:r>
        <w:rPr>
          <w:rFonts w:hint="eastAsia"/>
          <w:highlight w:val="none"/>
          <w:lang w:val="en-US" w:eastAsia="zh-CN"/>
        </w:rPr>
        <w:t>集中实践课程确保归档全覆盖，学生使用学院统一印制的实践报告手册，每个实践报告手册的内容包括实践学习笔记和实践报告两部分。</w:t>
      </w:r>
    </w:p>
    <w:p>
      <w:pPr>
        <w:bidi w:val="0"/>
        <w:ind w:left="0" w:leftChars="0" w:firstLine="0" w:firstLineChars="0"/>
        <w:rPr>
          <w:rFonts w:hint="default" w:ascii="仿宋" w:hAnsi="仿宋" w:cs="仿宋"/>
          <w:b w:val="0"/>
          <w:bCs/>
          <w:color w:val="auto"/>
          <w:sz w:val="32"/>
          <w:szCs w:val="32"/>
          <w:highlight w:val="none"/>
          <w:lang w:val="en-US" w:eastAsia="zh-CN"/>
        </w:rPr>
      </w:pPr>
      <w:r>
        <w:rPr>
          <w:rFonts w:hint="eastAsia"/>
          <w:b/>
          <w:bCs/>
          <w:highlight w:val="none"/>
          <w:lang w:val="en-US" w:eastAsia="zh-CN"/>
        </w:rPr>
        <w:t>（二）实践报告册归档：</w:t>
      </w:r>
      <w:r>
        <w:rPr>
          <w:rFonts w:hint="eastAsia"/>
          <w:highlight w:val="none"/>
          <w:lang w:val="en-US" w:eastAsia="zh-CN"/>
        </w:rPr>
        <w:t>集中实践课程的实践报告手册按照</w:t>
      </w:r>
      <w:r>
        <w:rPr>
          <w:rFonts w:hint="eastAsia" w:ascii="仿宋" w:hAnsi="仿宋" w:eastAsia="仿宋" w:cs="仿宋"/>
          <w:highlight w:val="none"/>
          <w:lang w:val="en-US" w:eastAsia="zh-CN"/>
        </w:rPr>
        <w:t>实</w:t>
      </w:r>
      <w:r>
        <w:rPr>
          <w:rFonts w:hint="eastAsia" w:ascii="仿宋" w:hAnsi="仿宋" w:eastAsia="仿宋" w:cs="仿宋"/>
          <w:b w:val="0"/>
          <w:bCs/>
          <w:color w:val="auto"/>
          <w:sz w:val="32"/>
          <w:szCs w:val="32"/>
          <w:highlight w:val="none"/>
          <w:lang w:val="en-US" w:eastAsia="zh-CN"/>
        </w:rPr>
        <w:t>践课要求规范撰写</w:t>
      </w:r>
      <w:r>
        <w:rPr>
          <w:rFonts w:hint="eastAsia" w:ascii="仿宋" w:hAnsi="仿宋" w:cs="仿宋"/>
          <w:b w:val="0"/>
          <w:bCs/>
          <w:color w:val="auto"/>
          <w:sz w:val="32"/>
          <w:szCs w:val="32"/>
          <w:highlight w:val="none"/>
          <w:lang w:val="en-US" w:eastAsia="zh-CN"/>
        </w:rPr>
        <w:t>。归档顺序按照任课教师-任课教师所带班级顺序-学号顺序排序。任课教师按照批阅要求批阅完成后，再按照顺序排好，按照所带班级顺序、学号顺序排好后捆扎后，教研室验收完毕，教学办公室核查无误后，统一存放在标签档案柜。</w:t>
      </w:r>
    </w:p>
    <w:p>
      <w:pPr>
        <w:bidi w:val="0"/>
        <w:ind w:left="0" w:leftChars="0" w:firstLine="0" w:firstLineChars="0"/>
        <w:rPr>
          <w:rFonts w:hint="default"/>
          <w:b w:val="0"/>
          <w:bCs w:val="0"/>
          <w:highlight w:val="none"/>
          <w:lang w:val="en-US" w:eastAsia="zh-CN"/>
        </w:rPr>
      </w:pPr>
      <w:r>
        <w:rPr>
          <w:rFonts w:hint="eastAsia"/>
          <w:b/>
          <w:bCs/>
          <w:highlight w:val="none"/>
          <w:lang w:val="en-US" w:eastAsia="zh-CN"/>
        </w:rPr>
        <w:t>（三）实践课纸质资料袋：</w:t>
      </w:r>
      <w:r>
        <w:rPr>
          <w:rFonts w:hint="eastAsia"/>
          <w:highlight w:val="none"/>
          <w:lang w:val="en-US" w:eastAsia="zh-CN"/>
        </w:rPr>
        <w:t>包括学生成绩统计与分析表、原始成绩单和学生平时成绩记录表共计3类材料，按照每门课程各任课教师所带班级人数全部归档在内。按照指定顺序排放。材料种类没有的写“无”或“单独归档”。</w:t>
      </w:r>
      <w:r>
        <w:rPr>
          <w:rFonts w:hint="eastAsia"/>
          <w:b w:val="0"/>
          <w:bCs w:val="0"/>
          <w:highlight w:val="none"/>
          <w:lang w:val="en-US" w:eastAsia="zh-CN"/>
        </w:rPr>
        <w:t>教研室根据开课计划，验收各任课教师按照此文件标准归档的材料袋后，</w:t>
      </w:r>
    </w:p>
    <w:p>
      <w:pPr>
        <w:bidi w:val="0"/>
        <w:ind w:left="0" w:leftChars="0" w:firstLine="0" w:firstLineChars="0"/>
        <w:rPr>
          <w:rFonts w:hint="eastAsia"/>
          <w:b w:val="0"/>
          <w:bCs w:val="0"/>
          <w:highlight w:val="none"/>
          <w:lang w:val="en-US" w:eastAsia="zh-CN"/>
        </w:rPr>
      </w:pPr>
      <w:r>
        <w:rPr>
          <w:rFonts w:hint="eastAsia"/>
          <w:b w:val="0"/>
          <w:bCs w:val="0"/>
          <w:highlight w:val="none"/>
          <w:lang w:val="en-US" w:eastAsia="zh-CN"/>
        </w:rPr>
        <w:t>统一排序齐全后交至教学秘书处。</w:t>
      </w:r>
    </w:p>
    <w:p>
      <w:pPr>
        <w:numPr>
          <w:ilvl w:val="0"/>
          <w:numId w:val="0"/>
        </w:numPr>
        <w:bidi w:val="0"/>
        <w:rPr>
          <w:rFonts w:hint="default" w:asciiTheme="minorEastAsia" w:hAnsiTheme="minorEastAsia" w:eastAsiaTheme="minorEastAsia" w:cstheme="minorEastAsia"/>
          <w:sz w:val="21"/>
          <w:szCs w:val="21"/>
          <w:highlight w:val="none"/>
          <w:lang w:val="en-US" w:eastAsia="zh-CN"/>
        </w:rPr>
      </w:pPr>
      <w:r>
        <w:rPr>
          <w:rFonts w:hint="eastAsia"/>
          <w:b/>
          <w:bCs/>
          <w:highlight w:val="none"/>
          <w:lang w:val="en-US" w:eastAsia="zh-CN"/>
        </w:rPr>
        <w:t>（四）实践课教学办公室单独归档材料：</w:t>
      </w:r>
      <w:r>
        <w:rPr>
          <w:rFonts w:hint="eastAsia"/>
          <w:highlight w:val="none"/>
          <w:lang w:val="en-US" w:eastAsia="zh-CN"/>
        </w:rPr>
        <w:t>实践审批记录表、实践总结表两种材料。</w:t>
      </w:r>
    </w:p>
    <w:p>
      <w:pPr>
        <w:pStyle w:val="2"/>
        <w:bidi w:val="0"/>
        <w:rPr>
          <w:rFonts w:hint="eastAsia"/>
          <w:lang w:eastAsia="zh-CN"/>
        </w:rPr>
      </w:pPr>
      <w:bookmarkStart w:id="115" w:name="_Toc20256"/>
      <w:bookmarkStart w:id="116" w:name="_Toc24374"/>
      <w:bookmarkStart w:id="117" w:name="_Toc24020"/>
      <w:bookmarkStart w:id="118" w:name="_Toc11615"/>
      <w:bookmarkStart w:id="119" w:name="_Toc12346"/>
      <w:bookmarkStart w:id="120" w:name="_Toc20971"/>
      <w:bookmarkStart w:id="121" w:name="_Toc10844"/>
      <w:bookmarkStart w:id="122" w:name="_Toc14482"/>
      <w:bookmarkStart w:id="123" w:name="_Toc21765"/>
      <w:bookmarkStart w:id="124" w:name="_Toc32420"/>
      <w:bookmarkStart w:id="125" w:name="_Toc12708"/>
      <w:r>
        <w:rPr>
          <w:rFonts w:hint="eastAsia"/>
          <w:lang w:val="en-US" w:eastAsia="zh-CN"/>
        </w:rPr>
        <w:t>四、</w:t>
      </w:r>
      <w:r>
        <w:rPr>
          <w:rFonts w:hint="eastAsia"/>
          <w:lang w:eastAsia="zh-CN"/>
        </w:rPr>
        <w:t>档案管理流程</w:t>
      </w:r>
      <w:bookmarkEnd w:id="115"/>
      <w:bookmarkEnd w:id="116"/>
      <w:bookmarkEnd w:id="117"/>
      <w:bookmarkEnd w:id="118"/>
      <w:bookmarkEnd w:id="119"/>
      <w:bookmarkEnd w:id="120"/>
      <w:bookmarkEnd w:id="121"/>
      <w:bookmarkEnd w:id="122"/>
      <w:bookmarkEnd w:id="123"/>
      <w:bookmarkEnd w:id="124"/>
      <w:bookmarkEnd w:id="125"/>
    </w:p>
    <w:p>
      <w:pPr>
        <w:pStyle w:val="2"/>
        <w:bidi w:val="0"/>
        <w:ind w:left="0" w:leftChars="0" w:firstLine="0" w:firstLineChars="0"/>
        <w:jc w:val="both"/>
        <w:rPr>
          <w:rFonts w:hint="eastAsia"/>
          <w:highlight w:val="none"/>
          <w:lang w:val="en-US" w:eastAsia="zh-CN"/>
        </w:rPr>
      </w:pPr>
      <w:bookmarkStart w:id="126" w:name="_Toc11735"/>
      <w:bookmarkStart w:id="127" w:name="_Toc8741"/>
      <w:bookmarkStart w:id="128" w:name="_Toc25665"/>
      <w:bookmarkStart w:id="129" w:name="_Toc31345"/>
      <w:bookmarkStart w:id="130" w:name="_Toc18709"/>
      <w:bookmarkStart w:id="131" w:name="_Toc32627"/>
      <w:bookmarkStart w:id="132" w:name="_Toc10672"/>
      <w:bookmarkStart w:id="133" w:name="_Toc10081"/>
      <w:bookmarkStart w:id="134" w:name="_Toc24101"/>
      <w:bookmarkStart w:id="135" w:name="_Toc17936"/>
      <w:bookmarkStart w:id="136" w:name="_Toc27719"/>
      <w:r>
        <w:rPr>
          <w:rFonts w:hint="eastAsia"/>
          <w:highlight w:val="none"/>
          <w:lang w:eastAsia="zh-CN"/>
        </w:rPr>
        <w:t>（一）</w:t>
      </w:r>
      <w:r>
        <w:rPr>
          <w:rFonts w:hint="eastAsia"/>
          <w:highlight w:val="none"/>
          <w:lang w:val="en-US" w:eastAsia="zh-CN"/>
        </w:rPr>
        <w:t>任课教师归档责任</w:t>
      </w:r>
      <w:bookmarkEnd w:id="126"/>
      <w:bookmarkEnd w:id="127"/>
      <w:bookmarkEnd w:id="128"/>
      <w:bookmarkEnd w:id="129"/>
      <w:bookmarkEnd w:id="130"/>
      <w:bookmarkEnd w:id="131"/>
      <w:bookmarkEnd w:id="132"/>
      <w:bookmarkEnd w:id="133"/>
      <w:bookmarkEnd w:id="134"/>
      <w:bookmarkEnd w:id="135"/>
      <w:bookmarkEnd w:id="136"/>
    </w:p>
    <w:p>
      <w:pPr>
        <w:bidi w:val="0"/>
        <w:rPr>
          <w:rFonts w:hint="eastAsia"/>
          <w:highlight w:val="none"/>
        </w:rPr>
      </w:pPr>
      <w:r>
        <w:rPr>
          <w:rFonts w:hint="eastAsia"/>
          <w:highlight w:val="none"/>
          <w:lang w:eastAsia="zh-CN"/>
        </w:rPr>
        <w:t>任课</w:t>
      </w:r>
      <w:r>
        <w:rPr>
          <w:rFonts w:hint="eastAsia"/>
          <w:highlight w:val="none"/>
        </w:rPr>
        <w:t>教师</w:t>
      </w:r>
      <w:r>
        <w:rPr>
          <w:rFonts w:hint="eastAsia"/>
          <w:highlight w:val="none"/>
          <w:lang w:eastAsia="zh-CN"/>
        </w:rPr>
        <w:t>原则上在考试结束后两周内，</w:t>
      </w:r>
      <w:r>
        <w:rPr>
          <w:rFonts w:hint="eastAsia"/>
          <w:highlight w:val="none"/>
          <w:lang w:val="en-US" w:eastAsia="zh-CN"/>
        </w:rPr>
        <w:t>按照文件要求</w:t>
      </w:r>
      <w:r>
        <w:rPr>
          <w:rFonts w:hint="eastAsia"/>
          <w:highlight w:val="none"/>
          <w:lang w:eastAsia="zh-CN"/>
        </w:rPr>
        <w:t>完成试卷的批阅，</w:t>
      </w:r>
      <w:r>
        <w:rPr>
          <w:rFonts w:hint="eastAsia"/>
          <w:highlight w:val="none"/>
          <w:lang w:val="en-US" w:eastAsia="zh-CN"/>
        </w:rPr>
        <w:t>后在教务系统提交成绩，再按照此归档文件</w:t>
      </w:r>
      <w:r>
        <w:rPr>
          <w:rFonts w:hint="eastAsia"/>
          <w:highlight w:val="none"/>
          <w:lang w:eastAsia="zh-CN"/>
        </w:rPr>
        <w:t>要求，</w:t>
      </w:r>
      <w:r>
        <w:rPr>
          <w:rFonts w:hint="eastAsia"/>
          <w:highlight w:val="none"/>
          <w:lang w:val="en-US" w:eastAsia="zh-CN"/>
        </w:rPr>
        <w:t>严格细致完成教学档案整理归档，检查无误后，提</w:t>
      </w:r>
      <w:r>
        <w:rPr>
          <w:rFonts w:hint="eastAsia"/>
          <w:highlight w:val="none"/>
        </w:rPr>
        <w:t>交至</w:t>
      </w:r>
      <w:r>
        <w:rPr>
          <w:rFonts w:hint="eastAsia"/>
          <w:highlight w:val="none"/>
          <w:lang w:val="en-US" w:eastAsia="zh-CN"/>
        </w:rPr>
        <w:t>所在</w:t>
      </w:r>
      <w:r>
        <w:rPr>
          <w:rFonts w:hint="eastAsia"/>
          <w:highlight w:val="none"/>
        </w:rPr>
        <w:t>教研室</w:t>
      </w:r>
      <w:r>
        <w:rPr>
          <w:rFonts w:hint="eastAsia"/>
          <w:highlight w:val="none"/>
          <w:lang w:val="en-US" w:eastAsia="zh-CN"/>
        </w:rPr>
        <w:t>验收</w:t>
      </w:r>
      <w:r>
        <w:rPr>
          <w:rFonts w:hint="eastAsia"/>
          <w:highlight w:val="none"/>
        </w:rPr>
        <w:t>。</w:t>
      </w:r>
    </w:p>
    <w:p>
      <w:pPr>
        <w:pStyle w:val="2"/>
        <w:bidi w:val="0"/>
        <w:ind w:left="0" w:leftChars="0" w:firstLine="0" w:firstLineChars="0"/>
        <w:jc w:val="both"/>
        <w:rPr>
          <w:rFonts w:hint="default"/>
          <w:highlight w:val="none"/>
          <w:lang w:val="en-US" w:eastAsia="zh-CN"/>
        </w:rPr>
      </w:pPr>
      <w:bookmarkStart w:id="137" w:name="_Toc27590"/>
      <w:bookmarkStart w:id="138" w:name="_Toc30696"/>
      <w:bookmarkStart w:id="139" w:name="_Toc18962"/>
      <w:bookmarkStart w:id="140" w:name="_Toc9223"/>
      <w:bookmarkStart w:id="141" w:name="_Toc10800"/>
      <w:bookmarkStart w:id="142" w:name="_Toc18674"/>
      <w:bookmarkStart w:id="143" w:name="_Toc28920"/>
      <w:bookmarkStart w:id="144" w:name="_Toc15490"/>
      <w:bookmarkStart w:id="145" w:name="_Toc14318"/>
      <w:bookmarkStart w:id="146" w:name="_Toc2881"/>
      <w:bookmarkStart w:id="147" w:name="_Toc15297"/>
      <w:r>
        <w:rPr>
          <w:rFonts w:hint="eastAsia"/>
          <w:highlight w:val="none"/>
          <w:lang w:val="en-US" w:eastAsia="zh-CN"/>
        </w:rPr>
        <w:t>（二）教研室归档责任</w:t>
      </w:r>
      <w:bookmarkEnd w:id="137"/>
      <w:bookmarkEnd w:id="138"/>
      <w:bookmarkEnd w:id="139"/>
      <w:bookmarkEnd w:id="140"/>
      <w:bookmarkEnd w:id="141"/>
      <w:bookmarkEnd w:id="142"/>
      <w:bookmarkEnd w:id="143"/>
      <w:bookmarkEnd w:id="144"/>
      <w:bookmarkEnd w:id="145"/>
      <w:bookmarkEnd w:id="146"/>
      <w:bookmarkEnd w:id="147"/>
    </w:p>
    <w:p>
      <w:pPr>
        <w:bidi w:val="0"/>
        <w:rPr>
          <w:rFonts w:hint="eastAsia"/>
          <w:highlight w:val="none"/>
        </w:rPr>
      </w:pPr>
      <w:r>
        <w:rPr>
          <w:rFonts w:hint="eastAsia"/>
          <w:highlight w:val="none"/>
          <w:lang w:eastAsia="zh-CN"/>
        </w:rPr>
        <w:t>教研室教研室在</w:t>
      </w:r>
      <w:r>
        <w:rPr>
          <w:rFonts w:hint="eastAsia"/>
          <w:highlight w:val="none"/>
          <w:lang w:val="en-US" w:eastAsia="zh-CN"/>
        </w:rPr>
        <w:t>考试</w:t>
      </w:r>
      <w:r>
        <w:rPr>
          <w:rFonts w:hint="eastAsia"/>
          <w:highlight w:val="none"/>
          <w:lang w:eastAsia="zh-CN"/>
        </w:rPr>
        <w:t>结束后的</w:t>
      </w:r>
      <w:r>
        <w:rPr>
          <w:rFonts w:hint="eastAsia"/>
          <w:highlight w:val="none"/>
          <w:lang w:val="en-US" w:eastAsia="zh-CN"/>
        </w:rPr>
        <w:t>3</w:t>
      </w:r>
      <w:r>
        <w:rPr>
          <w:rFonts w:hint="eastAsia"/>
          <w:highlight w:val="none"/>
          <w:lang w:eastAsia="zh-CN"/>
        </w:rPr>
        <w:t>周</w:t>
      </w:r>
      <w:r>
        <w:rPr>
          <w:rFonts w:hint="eastAsia"/>
          <w:highlight w:val="none"/>
          <w:lang w:val="en-US" w:eastAsia="zh-CN"/>
        </w:rPr>
        <w:t>内</w:t>
      </w:r>
      <w:r>
        <w:rPr>
          <w:rFonts w:hint="eastAsia"/>
          <w:highlight w:val="none"/>
          <w:lang w:eastAsia="zh-CN"/>
        </w:rPr>
        <w:t>收集</w:t>
      </w:r>
      <w:r>
        <w:rPr>
          <w:rFonts w:hint="eastAsia"/>
          <w:highlight w:val="none"/>
          <w:lang w:val="en-US" w:eastAsia="zh-CN"/>
        </w:rPr>
        <w:t>齐课程组所有</w:t>
      </w:r>
      <w:r>
        <w:rPr>
          <w:rFonts w:hint="eastAsia"/>
          <w:highlight w:val="none"/>
          <w:lang w:eastAsia="zh-CN"/>
        </w:rPr>
        <w:t>任课教师</w:t>
      </w:r>
      <w:r>
        <w:rPr>
          <w:rFonts w:hint="eastAsia"/>
          <w:highlight w:val="none"/>
          <w:lang w:val="en-US" w:eastAsia="zh-CN"/>
        </w:rPr>
        <w:t>的归档</w:t>
      </w:r>
      <w:r>
        <w:rPr>
          <w:rFonts w:hint="eastAsia"/>
          <w:highlight w:val="none"/>
          <w:lang w:eastAsia="zh-CN"/>
        </w:rPr>
        <w:t>材料，</w:t>
      </w:r>
      <w:r>
        <w:rPr>
          <w:rFonts w:hint="eastAsia"/>
          <w:highlight w:val="none"/>
          <w:lang w:val="en-US" w:eastAsia="zh-CN"/>
        </w:rPr>
        <w:t>并进行标准化逐个验收，验收无误后，在</w:t>
      </w:r>
      <w:r>
        <w:rPr>
          <w:rFonts w:hint="eastAsia"/>
          <w:highlight w:val="none"/>
          <w:lang w:eastAsia="zh-CN"/>
        </w:rPr>
        <w:t>初核</w:t>
      </w:r>
      <w:r>
        <w:rPr>
          <w:rFonts w:hint="eastAsia"/>
          <w:highlight w:val="none"/>
          <w:lang w:val="en-US" w:eastAsia="zh-CN"/>
        </w:rPr>
        <w:t>处确认</w:t>
      </w:r>
      <w:r>
        <w:rPr>
          <w:rFonts w:hint="eastAsia"/>
          <w:highlight w:val="none"/>
          <w:lang w:eastAsia="zh-CN"/>
        </w:rPr>
        <w:t>签字，</w:t>
      </w:r>
      <w:r>
        <w:rPr>
          <w:rFonts w:hint="eastAsia"/>
          <w:highlight w:val="none"/>
          <w:lang w:val="en-US" w:eastAsia="zh-CN"/>
        </w:rPr>
        <w:t>然后</w:t>
      </w:r>
      <w:r>
        <w:rPr>
          <w:rFonts w:hint="eastAsia"/>
          <w:highlight w:val="none"/>
          <w:lang w:eastAsia="zh-CN"/>
        </w:rPr>
        <w:t>组织任课教师填写</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rPr>
        <w:t>马院课程考核材料归档清单</w:t>
      </w:r>
      <w:r>
        <w:rPr>
          <w:rFonts w:hint="eastAsia" w:ascii="仿宋" w:hAnsi="仿宋" w:eastAsia="仿宋" w:cs="仿宋"/>
          <w:sz w:val="32"/>
          <w:szCs w:val="32"/>
          <w:highlight w:val="none"/>
          <w:lang w:eastAsia="zh-CN"/>
        </w:rPr>
        <w:t>》</w:t>
      </w:r>
      <w:r>
        <w:rPr>
          <w:rFonts w:hint="eastAsia" w:ascii="仿宋" w:hAnsi="仿宋" w:cs="仿宋"/>
          <w:sz w:val="32"/>
          <w:szCs w:val="32"/>
          <w:highlight w:val="none"/>
          <w:lang w:eastAsia="zh-CN"/>
        </w:rPr>
        <w:t>。</w:t>
      </w:r>
      <w:r>
        <w:rPr>
          <w:rFonts w:hint="eastAsia" w:ascii="仿宋" w:hAnsi="仿宋" w:cs="仿宋"/>
          <w:sz w:val="32"/>
          <w:szCs w:val="32"/>
          <w:highlight w:val="none"/>
          <w:lang w:val="en-US" w:eastAsia="zh-CN"/>
        </w:rPr>
        <w:t>存放前，</w:t>
      </w:r>
      <w:r>
        <w:rPr>
          <w:rFonts w:hint="eastAsia" w:ascii="仿宋" w:hAnsi="仿宋" w:cs="仿宋"/>
          <w:sz w:val="32"/>
          <w:szCs w:val="32"/>
          <w:highlight w:val="none"/>
          <w:lang w:eastAsia="zh-CN"/>
        </w:rPr>
        <w:t>以教研室为单位开展试卷归档工作的自查和互查工作，</w:t>
      </w:r>
      <w:r>
        <w:rPr>
          <w:rFonts w:hint="eastAsia" w:ascii="仿宋" w:hAnsi="仿宋" w:cs="仿宋"/>
          <w:sz w:val="32"/>
          <w:szCs w:val="32"/>
          <w:highlight w:val="none"/>
          <w:lang w:val="en-US" w:eastAsia="zh-CN"/>
        </w:rPr>
        <w:t>留存互查记录</w:t>
      </w:r>
      <w:r>
        <w:rPr>
          <w:rFonts w:hint="eastAsia" w:ascii="仿宋" w:hAnsi="仿宋" w:cs="仿宋"/>
          <w:sz w:val="32"/>
          <w:szCs w:val="32"/>
          <w:highlight w:val="none"/>
          <w:lang w:eastAsia="zh-CN"/>
        </w:rPr>
        <w:t>。</w:t>
      </w:r>
      <w:r>
        <w:rPr>
          <w:rFonts w:hint="eastAsia"/>
          <w:highlight w:val="none"/>
          <w:lang w:eastAsia="zh-CN"/>
        </w:rPr>
        <w:t>确保</w:t>
      </w:r>
      <w:r>
        <w:rPr>
          <w:rFonts w:hint="eastAsia"/>
          <w:highlight w:val="none"/>
        </w:rPr>
        <w:t>归档材料齐全、</w:t>
      </w:r>
      <w:r>
        <w:rPr>
          <w:rFonts w:hint="eastAsia"/>
          <w:highlight w:val="none"/>
          <w:lang w:val="en-US" w:eastAsia="zh-CN"/>
        </w:rPr>
        <w:t>完整、</w:t>
      </w:r>
      <w:r>
        <w:rPr>
          <w:rFonts w:hint="eastAsia"/>
          <w:highlight w:val="none"/>
        </w:rPr>
        <w:t>试卷批阅核分无误</w:t>
      </w:r>
      <w:r>
        <w:rPr>
          <w:rFonts w:hint="eastAsia"/>
          <w:highlight w:val="none"/>
          <w:lang w:eastAsia="zh-CN"/>
        </w:rPr>
        <w:t>。电子材料按照每</w:t>
      </w:r>
      <w:r>
        <w:rPr>
          <w:rFonts w:hint="eastAsia"/>
          <w:highlight w:val="none"/>
          <w:lang w:val="en-US" w:eastAsia="zh-CN"/>
        </w:rPr>
        <w:t>个学期每</w:t>
      </w:r>
      <w:r>
        <w:rPr>
          <w:rFonts w:hint="eastAsia"/>
          <w:highlight w:val="none"/>
          <w:lang w:eastAsia="zh-CN"/>
        </w:rPr>
        <w:t>门课程</w:t>
      </w:r>
      <w:r>
        <w:rPr>
          <w:rFonts w:hint="eastAsia"/>
          <w:highlight w:val="none"/>
          <w:lang w:val="en-US" w:eastAsia="zh-CN"/>
        </w:rPr>
        <w:t>1</w:t>
      </w:r>
      <w:r>
        <w:rPr>
          <w:rFonts w:hint="eastAsia"/>
          <w:highlight w:val="none"/>
          <w:lang w:eastAsia="zh-CN"/>
        </w:rPr>
        <w:t>个</w:t>
      </w:r>
      <w:r>
        <w:rPr>
          <w:rFonts w:hint="eastAsia"/>
          <w:highlight w:val="none"/>
          <w:lang w:val="en-US" w:eastAsia="zh-CN"/>
        </w:rPr>
        <w:t>U盘进行存储</w:t>
      </w:r>
      <w:r>
        <w:rPr>
          <w:rFonts w:hint="eastAsia"/>
          <w:highlight w:val="none"/>
        </w:rPr>
        <w:t>。</w:t>
      </w:r>
    </w:p>
    <w:p>
      <w:pPr>
        <w:pStyle w:val="2"/>
        <w:bidi w:val="0"/>
        <w:ind w:left="0" w:leftChars="0" w:firstLine="0" w:firstLineChars="0"/>
        <w:jc w:val="both"/>
        <w:rPr>
          <w:rFonts w:hint="eastAsia"/>
          <w:highlight w:val="none"/>
          <w:lang w:val="en-US" w:eastAsia="zh-CN"/>
        </w:rPr>
      </w:pPr>
      <w:bookmarkStart w:id="148" w:name="_Toc24902"/>
      <w:bookmarkStart w:id="149" w:name="_Toc27743"/>
      <w:bookmarkStart w:id="150" w:name="_Toc2820"/>
      <w:bookmarkStart w:id="151" w:name="_Toc25992"/>
      <w:bookmarkStart w:id="152" w:name="_Toc9286"/>
      <w:bookmarkStart w:id="153" w:name="_Toc10204"/>
      <w:bookmarkStart w:id="154" w:name="_Toc26366"/>
      <w:bookmarkStart w:id="155" w:name="_Toc20267"/>
      <w:bookmarkStart w:id="156" w:name="_Toc28643"/>
      <w:bookmarkStart w:id="157" w:name="_Toc12954"/>
      <w:bookmarkStart w:id="158" w:name="_Toc24673"/>
      <w:r>
        <w:rPr>
          <w:rFonts w:hint="eastAsia"/>
          <w:highlight w:val="none"/>
          <w:lang w:val="en-US" w:eastAsia="zh-CN"/>
        </w:rPr>
        <w:t>（三）教学办责任</w:t>
      </w:r>
      <w:bookmarkEnd w:id="148"/>
      <w:bookmarkEnd w:id="149"/>
      <w:bookmarkEnd w:id="150"/>
      <w:bookmarkEnd w:id="151"/>
      <w:bookmarkEnd w:id="152"/>
      <w:bookmarkEnd w:id="153"/>
      <w:bookmarkEnd w:id="154"/>
      <w:bookmarkEnd w:id="155"/>
      <w:bookmarkEnd w:id="156"/>
      <w:bookmarkEnd w:id="157"/>
      <w:bookmarkEnd w:id="158"/>
    </w:p>
    <w:p>
      <w:pPr>
        <w:bidi w:val="0"/>
        <w:rPr>
          <w:rFonts w:hint="eastAsia"/>
          <w:b/>
          <w:bCs/>
          <w:highlight w:val="none"/>
        </w:rPr>
      </w:pPr>
      <w:r>
        <w:rPr>
          <w:rFonts w:hint="eastAsia"/>
          <w:highlight w:val="none"/>
          <w:lang w:eastAsia="zh-CN"/>
        </w:rPr>
        <w:t>教学秘书与各教研室主任进行材料的交接工作，</w:t>
      </w:r>
      <w:r>
        <w:rPr>
          <w:rFonts w:hint="eastAsia"/>
          <w:highlight w:val="none"/>
          <w:lang w:val="en-US" w:eastAsia="zh-CN"/>
        </w:rPr>
        <w:t>教学办按照标准对各教研室的</w:t>
      </w:r>
      <w:r>
        <w:rPr>
          <w:rFonts w:hint="eastAsia"/>
          <w:highlight w:val="none"/>
          <w:lang w:eastAsia="zh-CN"/>
        </w:rPr>
        <w:t>纸</w:t>
      </w:r>
      <w:r>
        <w:rPr>
          <w:rFonts w:hint="eastAsia"/>
          <w:highlight w:val="none"/>
          <w:lang w:val="en-US" w:eastAsia="zh-CN"/>
        </w:rPr>
        <w:t>质档案、</w:t>
      </w:r>
      <w:r>
        <w:rPr>
          <w:rFonts w:hint="eastAsia"/>
          <w:highlight w:val="none"/>
          <w:lang w:eastAsia="zh-CN"/>
        </w:rPr>
        <w:t>电子</w:t>
      </w:r>
      <w:r>
        <w:rPr>
          <w:rFonts w:hint="eastAsia"/>
          <w:highlight w:val="none"/>
          <w:lang w:val="en-US" w:eastAsia="zh-CN"/>
        </w:rPr>
        <w:t>档案进行标准化</w:t>
      </w:r>
      <w:r>
        <w:rPr>
          <w:rFonts w:hint="eastAsia"/>
          <w:highlight w:val="none"/>
          <w:lang w:eastAsia="zh-CN"/>
        </w:rPr>
        <w:t>验收，于一周内进行</w:t>
      </w:r>
      <w:r>
        <w:rPr>
          <w:rFonts w:hint="eastAsia"/>
          <w:highlight w:val="none"/>
          <w:lang w:val="en-US" w:eastAsia="zh-CN"/>
        </w:rPr>
        <w:t>材料不规范或问题反馈。整改完成确保无误的材料，存放在贴有指定课程标签的档案柜。</w:t>
      </w:r>
      <w:r>
        <w:rPr>
          <w:rFonts w:hint="eastAsia"/>
          <w:highlight w:val="none"/>
          <w:lang w:eastAsia="zh-CN"/>
        </w:rPr>
        <w:t>电子材料存储于专属</w:t>
      </w:r>
      <w:r>
        <w:rPr>
          <w:rFonts w:hint="eastAsia"/>
          <w:highlight w:val="none"/>
          <w:lang w:val="en-US" w:eastAsia="zh-CN"/>
        </w:rPr>
        <w:t>U盘中，并在归档专用电脑中进行备份。</w:t>
      </w:r>
      <w:r>
        <w:rPr>
          <w:rFonts w:hint="eastAsia"/>
          <w:b/>
          <w:bCs/>
          <w:highlight w:val="none"/>
        </w:rPr>
        <w:br w:type="textWrapping"/>
      </w:r>
      <w:r>
        <w:rPr>
          <w:rStyle w:val="14"/>
          <w:rFonts w:hint="eastAsia"/>
          <w:highlight w:val="none"/>
          <w:lang w:val="en-US" w:eastAsia="zh-CN"/>
        </w:rPr>
        <w:t>五</w:t>
      </w:r>
      <w:r>
        <w:rPr>
          <w:rStyle w:val="14"/>
          <w:rFonts w:hint="eastAsia"/>
          <w:highlight w:val="none"/>
          <w:lang w:eastAsia="zh-CN"/>
        </w:rPr>
        <w:t>、</w:t>
      </w:r>
      <w:r>
        <w:rPr>
          <w:rStyle w:val="14"/>
          <w:rFonts w:hint="eastAsia"/>
          <w:highlight w:val="none"/>
        </w:rPr>
        <w:t>本</w:t>
      </w:r>
      <w:r>
        <w:rPr>
          <w:rStyle w:val="14"/>
          <w:rFonts w:hint="eastAsia"/>
          <w:highlight w:val="none"/>
          <w:lang w:eastAsia="zh-CN"/>
        </w:rPr>
        <w:t>制度</w:t>
      </w:r>
      <w:r>
        <w:rPr>
          <w:rStyle w:val="14"/>
          <w:rFonts w:hint="eastAsia"/>
          <w:highlight w:val="none"/>
        </w:rPr>
        <w:t>自发布</w:t>
      </w:r>
      <w:r>
        <w:rPr>
          <w:rStyle w:val="14"/>
          <w:rFonts w:hint="eastAsia"/>
          <w:highlight w:val="none"/>
          <w:lang w:eastAsia="zh-CN"/>
        </w:rPr>
        <w:t>之日</w:t>
      </w:r>
      <w:r>
        <w:rPr>
          <w:rStyle w:val="14"/>
          <w:rFonts w:hint="eastAsia"/>
          <w:highlight w:val="none"/>
        </w:rPr>
        <w:t>起执行。</w:t>
      </w:r>
    </w:p>
    <w:p>
      <w:pPr>
        <w:bidi w:val="0"/>
        <w:ind w:left="0" w:leftChars="0" w:firstLine="0" w:firstLineChars="0"/>
        <w:jc w:val="left"/>
        <w:rPr>
          <w:rFonts w:hint="eastAsia"/>
          <w:b/>
          <w:bCs/>
          <w:highlight w:val="none"/>
          <w:lang w:val="en-US" w:eastAsia="zh-CN"/>
        </w:rPr>
      </w:pPr>
    </w:p>
    <w:p>
      <w:pPr>
        <w:bidi w:val="0"/>
        <w:rPr>
          <w:rFonts w:hint="eastAsia"/>
          <w:highlight w:val="none"/>
          <w:lang w:val="en-US" w:eastAsia="zh-CN"/>
        </w:rPr>
      </w:pPr>
    </w:p>
    <w:p>
      <w:pPr>
        <w:bidi w:val="0"/>
        <w:rPr>
          <w:rFonts w:hint="eastAsia"/>
          <w:highlight w:val="none"/>
          <w:lang w:val="en-US" w:eastAsia="zh-CN"/>
        </w:rPr>
      </w:pPr>
    </w:p>
    <w:p>
      <w:pPr>
        <w:bidi w:val="0"/>
        <w:rPr>
          <w:rFonts w:hint="eastAsia"/>
          <w:highlight w:val="none"/>
          <w:lang w:val="en-US" w:eastAsia="zh-CN"/>
        </w:rPr>
      </w:pPr>
      <w:r>
        <w:rPr>
          <w:rFonts w:hint="eastAsia"/>
          <w:highlight w:val="none"/>
          <w:lang w:val="en-US" w:eastAsia="zh-CN"/>
        </w:rPr>
        <w:drawing>
          <wp:anchor distT="0" distB="0" distL="114300" distR="114300" simplePos="0" relativeHeight="251659264" behindDoc="1" locked="0" layoutInCell="1" allowOverlap="1">
            <wp:simplePos x="0" y="0"/>
            <wp:positionH relativeFrom="column">
              <wp:posOffset>3564890</wp:posOffset>
            </wp:positionH>
            <wp:positionV relativeFrom="paragraph">
              <wp:posOffset>79375</wp:posOffset>
            </wp:positionV>
            <wp:extent cx="1941830" cy="1263650"/>
            <wp:effectExtent l="0" t="0" r="0" b="0"/>
            <wp:wrapNone/>
            <wp:docPr id="2" name="图片 2" descr="马院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马院章"/>
                    <pic:cNvPicPr>
                      <a:picLocks noChangeAspect="1"/>
                    </pic:cNvPicPr>
                  </pic:nvPicPr>
                  <pic:blipFill>
                    <a:blip r:embed="rId8">
                      <a:clrChange>
                        <a:clrFrom>
                          <a:srgbClr val="FEFAF1">
                            <a:alpha val="100000"/>
                          </a:srgbClr>
                        </a:clrFrom>
                        <a:clrTo>
                          <a:srgbClr val="FEFAF1">
                            <a:alpha val="100000"/>
                            <a:alpha val="0"/>
                          </a:srgbClr>
                        </a:clrTo>
                      </a:clrChange>
                    </a:blip>
                    <a:stretch>
                      <a:fillRect/>
                    </a:stretch>
                  </pic:blipFill>
                  <pic:spPr>
                    <a:xfrm>
                      <a:off x="0" y="0"/>
                      <a:ext cx="1941830" cy="1263650"/>
                    </a:xfrm>
                    <a:prstGeom prst="rect">
                      <a:avLst/>
                    </a:prstGeom>
                  </pic:spPr>
                </pic:pic>
              </a:graphicData>
            </a:graphic>
          </wp:anchor>
        </w:drawing>
      </w:r>
    </w:p>
    <w:p>
      <w:pPr>
        <w:bidi w:val="0"/>
        <w:jc w:val="right"/>
        <w:rPr>
          <w:rFonts w:hint="eastAsia"/>
          <w:highlight w:val="none"/>
          <w:lang w:val="en-US" w:eastAsia="zh-CN"/>
        </w:rPr>
      </w:pPr>
      <w:r>
        <w:rPr>
          <w:rFonts w:hint="eastAsia"/>
          <w:highlight w:val="none"/>
          <w:lang w:val="en-US" w:eastAsia="zh-CN"/>
        </w:rPr>
        <w:t>皖江工学院马克思主义学院</w:t>
      </w:r>
    </w:p>
    <w:p>
      <w:pPr>
        <w:bidi w:val="0"/>
        <w:jc w:val="right"/>
        <w:rPr>
          <w:rFonts w:hint="default"/>
          <w:highlight w:val="none"/>
          <w:lang w:val="en-US" w:eastAsia="zh-CN"/>
        </w:rPr>
      </w:pPr>
      <w:r>
        <w:rPr>
          <w:rFonts w:hint="eastAsia"/>
          <w:highlight w:val="none"/>
          <w:lang w:val="en-US" w:eastAsia="zh-CN"/>
        </w:rPr>
        <w:t xml:space="preserve">                        2024年5月13日</w:t>
      </w:r>
    </w:p>
    <w:p>
      <w:pPr>
        <w:bidi w:val="0"/>
        <w:jc w:val="left"/>
        <w:rPr>
          <w:rFonts w:hint="eastAsia" w:ascii="仿宋" w:hAnsi="仿宋" w:cs="仿宋"/>
          <w:b/>
          <w:bCs/>
          <w:sz w:val="32"/>
          <w:szCs w:val="32"/>
          <w:highlight w:val="none"/>
          <w:lang w:val="en-US" w:eastAsia="zh-CN"/>
        </w:rPr>
      </w:pPr>
    </w:p>
    <w:p>
      <w:pPr>
        <w:bidi w:val="0"/>
        <w:jc w:val="left"/>
        <w:rPr>
          <w:rFonts w:hint="eastAsia" w:ascii="仿宋" w:hAnsi="仿宋" w:cs="仿宋"/>
          <w:b/>
          <w:bCs/>
          <w:sz w:val="32"/>
          <w:szCs w:val="32"/>
          <w:highlight w:val="none"/>
          <w:lang w:val="en-US" w:eastAsia="zh-CN"/>
        </w:rPr>
      </w:pPr>
    </w:p>
    <w:p>
      <w:pPr>
        <w:bidi w:val="0"/>
        <w:jc w:val="left"/>
        <w:rPr>
          <w:rFonts w:hint="eastAsia" w:ascii="仿宋" w:hAnsi="仿宋" w:cs="仿宋"/>
          <w:b/>
          <w:bCs/>
          <w:sz w:val="32"/>
          <w:szCs w:val="32"/>
          <w:highlight w:val="none"/>
          <w:lang w:val="en-US" w:eastAsia="zh-CN"/>
        </w:rPr>
      </w:pPr>
    </w:p>
    <w:p>
      <w:pPr>
        <w:bidi w:val="0"/>
        <w:jc w:val="left"/>
        <w:rPr>
          <w:rFonts w:hint="eastAsia" w:ascii="仿宋" w:hAnsi="仿宋" w:cs="仿宋"/>
          <w:b/>
          <w:bCs/>
          <w:sz w:val="32"/>
          <w:szCs w:val="32"/>
          <w:highlight w:val="none"/>
          <w:lang w:val="en-US" w:eastAsia="zh-CN"/>
        </w:rPr>
      </w:pPr>
      <w:bookmarkStart w:id="159" w:name="_GoBack"/>
      <w:bookmarkEnd w:id="159"/>
    </w:p>
    <w:p>
      <w:pPr>
        <w:bidi w:val="0"/>
        <w:jc w:val="left"/>
        <w:rPr>
          <w:rFonts w:hint="eastAsia" w:ascii="仿宋" w:hAnsi="仿宋" w:cs="仿宋"/>
          <w:b/>
          <w:bCs/>
          <w:sz w:val="32"/>
          <w:szCs w:val="32"/>
          <w:highlight w:val="none"/>
          <w:lang w:val="en-US" w:eastAsia="zh-CN"/>
        </w:rPr>
      </w:pPr>
    </w:p>
    <w:p>
      <w:pPr>
        <w:bidi w:val="0"/>
        <w:jc w:val="left"/>
        <w:rPr>
          <w:rFonts w:hint="eastAsia" w:ascii="仿宋" w:hAnsi="仿宋" w:cs="仿宋"/>
          <w:b/>
          <w:bCs/>
          <w:sz w:val="32"/>
          <w:szCs w:val="32"/>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ascii="仿宋" w:hAnsi="仿宋" w:eastAsia="仿宋" w:cs="仿宋"/>
          <w:b/>
          <w:bCs/>
          <w:sz w:val="32"/>
          <w:szCs w:val="32"/>
          <w:lang w:val="en-US" w:eastAsia="zh-CN"/>
        </w:rPr>
      </w:pPr>
    </w:p>
    <w:sectPr>
      <w:headerReference r:id="rId5" w:type="default"/>
      <w:footerReference r:id="rId6" w:type="default"/>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ind w:firstLine="640"/>
      </w:pPr>
      <w:r>
        <w:separator/>
      </w:r>
    </w:p>
  </w:endnote>
  <w:endnote w:type="continuationSeparator" w:id="1">
    <w:p>
      <w:pPr>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roman"/>
    <w:pitch w:val="default"/>
    <w:sig w:usb0="E0002AFF" w:usb1="C0007841" w:usb2="00000009" w:usb3="00000000" w:csb0="400001FF" w:csb1="FFFF0000"/>
  </w:font>
  <w:font w:name="宋体">
    <w:panose1 w:val="02010600030101010101"/>
    <w:charset w:val="80"/>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embedRegular r:id="rId1" w:fontKey="{E5F5773F-AEB9-4234-B56B-21AAF40FC882}"/>
  </w:font>
  <w:font w:name="黑体">
    <w:panose1 w:val="02010609060101010101"/>
    <w:charset w:val="86"/>
    <w:family w:val="auto"/>
    <w:pitch w:val="default"/>
    <w:sig w:usb0="800002BF" w:usb1="38CF7CFA" w:usb2="00000016" w:usb3="00000000" w:csb0="00040001" w:csb1="00000000"/>
    <w:embedRegular r:id="rId2" w:fontKey="{9441965C-6574-4AEB-94F0-A67B2EFF1CE2}"/>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3" w:fontKey="{7E936D85-13AE-420B-8CEB-FD96209C0FDA}"/>
  </w:font>
  <w:font w:name="仿宋">
    <w:panose1 w:val="02010609060101010101"/>
    <w:charset w:val="86"/>
    <w:family w:val="auto"/>
    <w:pitch w:val="default"/>
    <w:sig w:usb0="800002BF" w:usb1="38CF7CFA" w:usb2="00000016" w:usb3="00000000" w:csb0="00040001" w:csb1="00000000"/>
    <w:embedRegular r:id="rId4" w:fontKey="{15EA64D9-1F61-4E4E-A485-1254C8E9F502}"/>
  </w:font>
  <w:font w:name="微软雅黑">
    <w:panose1 w:val="020B0503020204020204"/>
    <w:charset w:val="86"/>
    <w:family w:val="auto"/>
    <w:pitch w:val="default"/>
    <w:sig w:usb0="80000287" w:usb1="280F3C52" w:usb2="00000016" w:usb3="00000000" w:csb0="0004001F" w:csb1="00000000"/>
    <w:embedRegular r:id="rId5" w:fontKey="{ED12801F-D017-4936-B782-65341E6FCE4C}"/>
  </w:font>
  <w:font w:name="华文宋体">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embedRegular r:id="rId6" w:fontKey="{62B9E47D-2207-4AF6-999B-C0FC54D2052D}"/>
  </w:font>
  <w:font w:name="华文中宋">
    <w:panose1 w:val="02010600040101010101"/>
    <w:charset w:val="86"/>
    <w:family w:val="auto"/>
    <w:pitch w:val="default"/>
    <w:sig w:usb0="00000287" w:usb1="080F0000" w:usb2="00000000" w:usb3="00000000" w:csb0="0004009F" w:csb1="DFD70000"/>
    <w:embedRegular r:id="rId7" w:fontKey="{E6C452E8-BB72-4BFF-82E0-8AC17EE0F128}"/>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7"/>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ind w:firstLine="640"/>
      </w:pPr>
      <w:r>
        <w:separator/>
      </w:r>
    </w:p>
  </w:footnote>
  <w:footnote w:type="continuationSeparator" w:id="1">
    <w:p>
      <w:pPr>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DBE2935"/>
    <w:multiLevelType w:val="singleLevel"/>
    <w:tmpl w:val="BDBE2935"/>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g5MDU5NTFmMDExY2Y0NWE3Yjg1Nzc0MDgxMzcxYTgifQ=="/>
  </w:docVars>
  <w:rsids>
    <w:rsidRoot w:val="10DF563D"/>
    <w:rsid w:val="027520D7"/>
    <w:rsid w:val="02C72B90"/>
    <w:rsid w:val="05A44779"/>
    <w:rsid w:val="061A2379"/>
    <w:rsid w:val="06D252D5"/>
    <w:rsid w:val="07777ED7"/>
    <w:rsid w:val="0CC271F7"/>
    <w:rsid w:val="10DF563D"/>
    <w:rsid w:val="113853D7"/>
    <w:rsid w:val="12252A0F"/>
    <w:rsid w:val="13DD188A"/>
    <w:rsid w:val="17E0565A"/>
    <w:rsid w:val="182809BE"/>
    <w:rsid w:val="186E51A7"/>
    <w:rsid w:val="194727AC"/>
    <w:rsid w:val="1A6E456A"/>
    <w:rsid w:val="1B703E2A"/>
    <w:rsid w:val="21004F3E"/>
    <w:rsid w:val="22FF72EF"/>
    <w:rsid w:val="2A7F46F5"/>
    <w:rsid w:val="2A8F5539"/>
    <w:rsid w:val="2B964BD4"/>
    <w:rsid w:val="2BC208D4"/>
    <w:rsid w:val="2D853798"/>
    <w:rsid w:val="2E8C78D0"/>
    <w:rsid w:val="308338C3"/>
    <w:rsid w:val="320408C6"/>
    <w:rsid w:val="32BC3287"/>
    <w:rsid w:val="35156C7E"/>
    <w:rsid w:val="374E5A3C"/>
    <w:rsid w:val="3C875B2D"/>
    <w:rsid w:val="3FB64A29"/>
    <w:rsid w:val="46035281"/>
    <w:rsid w:val="4AA95505"/>
    <w:rsid w:val="4B653138"/>
    <w:rsid w:val="4BED0914"/>
    <w:rsid w:val="4BFA6AB7"/>
    <w:rsid w:val="4C5F09D9"/>
    <w:rsid w:val="4FA743F0"/>
    <w:rsid w:val="50245B70"/>
    <w:rsid w:val="533115B6"/>
    <w:rsid w:val="54FC56BC"/>
    <w:rsid w:val="55CD58DE"/>
    <w:rsid w:val="583579A7"/>
    <w:rsid w:val="58FF7105"/>
    <w:rsid w:val="591638EA"/>
    <w:rsid w:val="5AB13254"/>
    <w:rsid w:val="5EA362F1"/>
    <w:rsid w:val="60C770A8"/>
    <w:rsid w:val="64F806A4"/>
    <w:rsid w:val="657A4758"/>
    <w:rsid w:val="68EE5063"/>
    <w:rsid w:val="6A2D7FEB"/>
    <w:rsid w:val="6CEB1ED3"/>
    <w:rsid w:val="6E0771FF"/>
    <w:rsid w:val="6EFB3EA2"/>
    <w:rsid w:val="712053AA"/>
    <w:rsid w:val="74286254"/>
    <w:rsid w:val="75342F05"/>
    <w:rsid w:val="75D446B5"/>
    <w:rsid w:val="77057C61"/>
    <w:rsid w:val="771A0A72"/>
    <w:rsid w:val="7875412E"/>
    <w:rsid w:val="78A02BF0"/>
    <w:rsid w:val="7AF601A5"/>
    <w:rsid w:val="7C3939CE"/>
    <w:rsid w:val="7C5265E3"/>
    <w:rsid w:val="7DEC2CBC"/>
    <w:rsid w:val="7E014A79"/>
    <w:rsid w:val="7F7E71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ind w:firstLine="880" w:firstLineChars="200"/>
      <w:jc w:val="both"/>
    </w:pPr>
    <w:rPr>
      <w:rFonts w:eastAsia="仿宋" w:asciiTheme="minorAscii" w:hAnsiTheme="minorAscii" w:cstheme="minorBidi"/>
      <w:kern w:val="2"/>
      <w:sz w:val="32"/>
      <w:szCs w:val="24"/>
      <w:lang w:val="en-US" w:eastAsia="zh-CN" w:bidi="ar-SA"/>
    </w:rPr>
  </w:style>
  <w:style w:type="paragraph" w:styleId="2">
    <w:name w:val="heading 1"/>
    <w:basedOn w:val="1"/>
    <w:next w:val="1"/>
    <w:link w:val="14"/>
    <w:autoRedefine/>
    <w:qFormat/>
    <w:uiPriority w:val="1"/>
    <w:pPr>
      <w:spacing w:before="33"/>
      <w:ind w:right="0"/>
      <w:jc w:val="center"/>
      <w:outlineLvl w:val="0"/>
    </w:pPr>
    <w:rPr>
      <w:rFonts w:ascii="黑体" w:hAnsi="黑体" w:cs="黑体"/>
      <w:b/>
      <w:szCs w:val="36"/>
      <w:lang w:val="zh-CN" w:bidi="zh-CN"/>
    </w:rPr>
  </w:style>
  <w:style w:type="paragraph" w:styleId="3">
    <w:name w:val="heading 2"/>
    <w:basedOn w:val="1"/>
    <w:next w:val="1"/>
    <w:link w:val="16"/>
    <w:autoRedefine/>
    <w:unhideWhenUsed/>
    <w:qFormat/>
    <w:uiPriority w:val="0"/>
    <w:pPr>
      <w:keepNext/>
      <w:keepLines/>
      <w:spacing w:before="260" w:beforeLines="0" w:beforeAutospacing="0" w:after="260" w:afterLines="0" w:afterAutospacing="0" w:line="413" w:lineRule="auto"/>
      <w:jc w:val="left"/>
      <w:outlineLvl w:val="1"/>
    </w:pPr>
    <w:rPr>
      <w:rFonts w:ascii="Arial" w:hAnsi="Arial"/>
      <w:b/>
    </w:rPr>
  </w:style>
  <w:style w:type="paragraph" w:styleId="4">
    <w:name w:val="heading 3"/>
    <w:basedOn w:val="1"/>
    <w:next w:val="1"/>
    <w:link w:val="17"/>
    <w:autoRedefine/>
    <w:unhideWhenUsed/>
    <w:qFormat/>
    <w:uiPriority w:val="0"/>
    <w:pPr>
      <w:keepNext/>
      <w:keepLines/>
      <w:spacing w:before="260" w:beforeLines="0" w:beforeAutospacing="0" w:after="260" w:afterLines="0" w:afterAutospacing="0" w:line="413" w:lineRule="auto"/>
      <w:jc w:val="left"/>
      <w:outlineLvl w:val="2"/>
    </w:pPr>
    <w:rPr>
      <w:b/>
    </w:rPr>
  </w:style>
  <w:style w:type="character" w:default="1" w:styleId="13">
    <w:name w:val="Default Paragraph Font"/>
    <w:autoRedefine/>
    <w:semiHidden/>
    <w:qFormat/>
    <w:uiPriority w:val="0"/>
  </w:style>
  <w:style w:type="table" w:default="1" w:styleId="12">
    <w:name w:val="Normal Table"/>
    <w:autoRedefin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5">
    <w:name w:val="annotation text"/>
    <w:basedOn w:val="1"/>
    <w:link w:val="15"/>
    <w:autoRedefine/>
    <w:qFormat/>
    <w:uiPriority w:val="0"/>
    <w:pPr>
      <w:keepNext w:val="0"/>
      <w:keepLines w:val="0"/>
      <w:widowControl w:val="0"/>
      <w:suppressLineNumbers w:val="0"/>
      <w:spacing w:before="0" w:beforeAutospacing="0" w:after="0" w:afterAutospacing="0"/>
      <w:ind w:left="0" w:right="0" w:firstLine="880" w:firstLineChars="200"/>
      <w:jc w:val="left"/>
    </w:pPr>
    <w:rPr>
      <w:rFonts w:hint="default" w:ascii="Calibri" w:hAnsi="Calibri" w:eastAsia="仿宋" w:cs="Times New Roman"/>
      <w:kern w:val="2"/>
      <w:sz w:val="32"/>
      <w:szCs w:val="24"/>
      <w:lang w:val="en-US" w:eastAsia="zh-CN" w:bidi="ar"/>
    </w:rPr>
  </w:style>
  <w:style w:type="paragraph" w:styleId="6">
    <w:name w:val="toc 3"/>
    <w:basedOn w:val="1"/>
    <w:next w:val="1"/>
    <w:autoRedefine/>
    <w:qFormat/>
    <w:uiPriority w:val="0"/>
    <w:pPr>
      <w:ind w:left="840" w:leftChars="400"/>
    </w:pPr>
  </w:style>
  <w:style w:type="paragraph" w:styleId="7">
    <w:name w:val="footer"/>
    <w:basedOn w:val="1"/>
    <w:autoRedefine/>
    <w:qFormat/>
    <w:uiPriority w:val="0"/>
    <w:pPr>
      <w:tabs>
        <w:tab w:val="center" w:pos="4153"/>
        <w:tab w:val="right" w:pos="8306"/>
      </w:tabs>
      <w:snapToGrid w:val="0"/>
      <w:jc w:val="left"/>
    </w:pPr>
    <w:rPr>
      <w:sz w:val="18"/>
    </w:rPr>
  </w:style>
  <w:style w:type="paragraph" w:styleId="8">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toc 1"/>
    <w:basedOn w:val="1"/>
    <w:next w:val="1"/>
    <w:autoRedefine/>
    <w:qFormat/>
    <w:uiPriority w:val="0"/>
  </w:style>
  <w:style w:type="paragraph" w:styleId="10">
    <w:name w:val="toc 2"/>
    <w:basedOn w:val="1"/>
    <w:next w:val="1"/>
    <w:autoRedefine/>
    <w:qFormat/>
    <w:uiPriority w:val="0"/>
    <w:pPr>
      <w:ind w:left="420" w:leftChars="200"/>
    </w:pPr>
  </w:style>
  <w:style w:type="paragraph" w:styleId="11">
    <w:name w:val="Normal (Web)"/>
    <w:basedOn w:val="1"/>
    <w:autoRedefine/>
    <w:qFormat/>
    <w:uiPriority w:val="0"/>
    <w:rPr>
      <w:sz w:val="24"/>
    </w:rPr>
  </w:style>
  <w:style w:type="character" w:customStyle="1" w:styleId="14">
    <w:name w:val="标题 1 Char"/>
    <w:link w:val="2"/>
    <w:autoRedefine/>
    <w:qFormat/>
    <w:uiPriority w:val="1"/>
    <w:rPr>
      <w:rFonts w:ascii="黑体" w:hAnsi="黑体" w:eastAsia="仿宋" w:cs="黑体"/>
      <w:b/>
      <w:szCs w:val="36"/>
      <w:lang w:val="zh-CN" w:bidi="zh-CN"/>
    </w:rPr>
  </w:style>
  <w:style w:type="character" w:customStyle="1" w:styleId="15">
    <w:name w:val="批注文字 字符"/>
    <w:basedOn w:val="13"/>
    <w:link w:val="5"/>
    <w:autoRedefine/>
    <w:qFormat/>
    <w:uiPriority w:val="0"/>
    <w:rPr>
      <w:rFonts w:hint="default" w:ascii="Calibri" w:hAnsi="Calibri" w:eastAsia="仿宋" w:cs="Times New Roman"/>
      <w:kern w:val="2"/>
      <w:sz w:val="32"/>
      <w:szCs w:val="24"/>
    </w:rPr>
  </w:style>
  <w:style w:type="character" w:customStyle="1" w:styleId="16">
    <w:name w:val="标题 2 Char"/>
    <w:link w:val="3"/>
    <w:autoRedefine/>
    <w:qFormat/>
    <w:uiPriority w:val="0"/>
    <w:rPr>
      <w:rFonts w:ascii="Arial" w:hAnsi="Arial" w:eastAsia="仿宋"/>
      <w:b/>
    </w:rPr>
  </w:style>
  <w:style w:type="character" w:customStyle="1" w:styleId="17">
    <w:name w:val="标题 3 Char"/>
    <w:link w:val="4"/>
    <w:autoRedefine/>
    <w:qFormat/>
    <w:uiPriority w:val="0"/>
    <w:rPr>
      <w:b/>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1.jpeg"/><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4341</Words>
  <Characters>4419</Characters>
  <Lines>0</Lines>
  <Paragraphs>0</Paragraphs>
  <TotalTime>2</TotalTime>
  <ScaleCrop>false</ScaleCrop>
  <LinksUpToDate>false</LinksUpToDate>
  <CharactersWithSpaces>4508</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2023-10-24T08:17:00Z</dcterms:created>
  <dc:creator>WPS_1644403982</dc:creator>
  <cp:lastModifiedBy>伴我暖</cp:lastModifiedBy>
  <cp:lastPrinted>2024-05-23T03:00:51Z</cp:lastPrinted>
  <dcterms:modified xsi:type="dcterms:W3CDTF">2024-05-23T03:03:04Z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23A019D811744CA28C034014A171063E_13</vt:lpwstr>
  </property>
</Properties>
</file>