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6" w:firstLineChars="400"/>
        <w:jc w:val="both"/>
        <w:rPr>
          <w:b/>
          <w:sz w:val="40"/>
        </w:rPr>
      </w:pPr>
      <w:r>
        <w:rPr>
          <w:rFonts w:hint="eastAsia"/>
          <w:b/>
          <w:sz w:val="40"/>
        </w:rPr>
        <w:t>皖江工学院20</w:t>
      </w:r>
      <w:r>
        <w:rPr>
          <w:b/>
          <w:sz w:val="40"/>
        </w:rPr>
        <w:t>2</w:t>
      </w:r>
      <w:r>
        <w:rPr>
          <w:rFonts w:hint="eastAsia"/>
          <w:b/>
          <w:sz w:val="40"/>
          <w:lang w:val="en-US" w:eastAsia="zh-CN"/>
        </w:rPr>
        <w:t>5</w:t>
      </w:r>
      <w:bookmarkStart w:id="0" w:name="_GoBack"/>
      <w:bookmarkEnd w:id="0"/>
      <w:r>
        <w:rPr>
          <w:rFonts w:hint="eastAsia"/>
          <w:b/>
          <w:sz w:val="40"/>
        </w:rPr>
        <w:t>年专升本考试</w:t>
      </w:r>
    </w:p>
    <w:p>
      <w:pPr>
        <w:spacing w:line="560" w:lineRule="exact"/>
        <w:jc w:val="center"/>
        <w:rPr>
          <w:rFonts w:hint="eastAsia" w:ascii="方正仿宋_GBK" w:eastAsia="方正仿宋_GBK"/>
          <w:sz w:val="32"/>
          <w:szCs w:val="32"/>
          <w:lang w:eastAsia="zh-CN"/>
        </w:rPr>
      </w:pPr>
      <w:r>
        <w:rPr>
          <w:rFonts w:hint="eastAsia"/>
          <w:b/>
          <w:color w:val="auto"/>
          <w:sz w:val="40"/>
        </w:rPr>
        <w:t>《</w:t>
      </w:r>
      <w:r>
        <w:rPr>
          <w:rFonts w:hint="eastAsia"/>
          <w:b/>
          <w:color w:val="auto"/>
          <w:sz w:val="40"/>
          <w:lang w:val="en-US" w:eastAsia="zh-CN"/>
        </w:rPr>
        <w:t>工程项目估价</w:t>
      </w:r>
      <w:r>
        <w:rPr>
          <w:rFonts w:hint="eastAsia"/>
          <w:b/>
          <w:color w:val="auto"/>
          <w:sz w:val="40"/>
        </w:rPr>
        <w:t>》</w:t>
      </w:r>
      <w:r>
        <w:rPr>
          <w:rFonts w:hint="eastAsia"/>
          <w:b/>
          <w:sz w:val="40"/>
        </w:rPr>
        <w:t>考试大纲</w:t>
      </w:r>
    </w:p>
    <w:p>
      <w:pPr>
        <w:spacing w:line="0" w:lineRule="atLeast"/>
        <w:ind w:firstLine="640" w:firstLineChars="200"/>
        <w:jc w:val="left"/>
        <w:rPr>
          <w:rFonts w:hint="eastAsia" w:ascii="方正仿宋_GBK" w:eastAsia="方正仿宋_GBK"/>
          <w:sz w:val="32"/>
          <w:szCs w:val="32"/>
          <w:lang w:eastAsia="zh-CN"/>
        </w:rPr>
      </w:pPr>
    </w:p>
    <w:p>
      <w:pPr>
        <w:spacing w:line="0" w:lineRule="atLeas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一、总纲</w:t>
      </w:r>
    </w:p>
    <w:p>
      <w:pPr>
        <w:spacing w:line="0" w:lineRule="atLeast"/>
        <w:ind w:firstLine="640" w:firstLineChars="200"/>
        <w:jc w:val="left"/>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普通专升本招生考试属于国家统一招生考试，安徽省</w:t>
      </w:r>
      <w:r>
        <w:rPr>
          <w:rFonts w:hint="eastAsia" w:ascii="仿宋" w:hAnsi="仿宋" w:eastAsia="仿宋" w:cs="仿宋"/>
          <w:sz w:val="32"/>
          <w:szCs w:val="32"/>
        </w:rPr>
        <w:t>普通高校</w:t>
      </w:r>
      <w:r>
        <w:rPr>
          <w:rFonts w:hint="eastAsia" w:ascii="仿宋" w:hAnsi="仿宋" w:eastAsia="仿宋" w:cs="仿宋"/>
          <w:color w:val="auto"/>
          <w:sz w:val="32"/>
          <w:szCs w:val="32"/>
          <w:u w:val="none"/>
          <w:lang w:eastAsia="zh-CN"/>
        </w:rPr>
        <w:t>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工程项目估价</w:t>
      </w:r>
      <w:r>
        <w:rPr>
          <w:rFonts w:hint="eastAsia" w:ascii="仿宋" w:hAnsi="仿宋" w:eastAsia="仿宋" w:cs="仿宋"/>
          <w:color w:val="auto"/>
          <w:sz w:val="32"/>
          <w:szCs w:val="32"/>
          <w:u w:val="none"/>
          <w:lang w:eastAsia="zh-CN"/>
        </w:rPr>
        <w:t>》考试是我校</w:t>
      </w:r>
      <w:r>
        <w:rPr>
          <w:rFonts w:hint="eastAsia" w:ascii="仿宋" w:hAnsi="仿宋" w:eastAsia="仿宋" w:cs="仿宋"/>
          <w:color w:val="auto"/>
          <w:sz w:val="32"/>
          <w:szCs w:val="32"/>
          <w:u w:val="none"/>
          <w:lang w:val="en-US" w:eastAsia="zh-CN"/>
        </w:rPr>
        <w:t>工程管理</w:t>
      </w:r>
      <w:r>
        <w:rPr>
          <w:rFonts w:hint="eastAsia" w:ascii="仿宋" w:hAnsi="仿宋" w:eastAsia="仿宋" w:cs="仿宋"/>
          <w:color w:val="auto"/>
          <w:sz w:val="32"/>
          <w:szCs w:val="32"/>
          <w:u w:val="none"/>
          <w:lang w:eastAsia="zh-CN"/>
        </w:rPr>
        <w:t>专业专升本招生考试专业课考试科目之一，考试对象为报考我校</w:t>
      </w:r>
      <w:r>
        <w:rPr>
          <w:rFonts w:hint="eastAsia" w:ascii="仿宋" w:hAnsi="仿宋" w:eastAsia="仿宋" w:cs="仿宋"/>
          <w:color w:val="auto"/>
          <w:sz w:val="32"/>
          <w:szCs w:val="32"/>
          <w:u w:val="none"/>
          <w:lang w:val="en-US" w:eastAsia="zh-CN"/>
        </w:rPr>
        <w:t>工程管理</w:t>
      </w:r>
      <w:r>
        <w:rPr>
          <w:rFonts w:hint="eastAsia" w:ascii="仿宋" w:hAnsi="仿宋" w:eastAsia="仿宋" w:cs="仿宋"/>
          <w:color w:val="auto"/>
          <w:sz w:val="32"/>
          <w:szCs w:val="32"/>
          <w:u w:val="none"/>
          <w:lang w:eastAsia="zh-CN"/>
        </w:rPr>
        <w:t>专业的考生。</w:t>
      </w:r>
      <w:r>
        <w:rPr>
          <w:rFonts w:hint="eastAsia" w:ascii="仿宋" w:hAnsi="仿宋" w:eastAsia="仿宋" w:cs="仿宋"/>
          <w:color w:val="auto"/>
          <w:sz w:val="32"/>
          <w:szCs w:val="32"/>
          <w:u w:val="none"/>
        </w:rPr>
        <w:t>为</w:t>
      </w:r>
      <w:r>
        <w:rPr>
          <w:rFonts w:hint="eastAsia" w:ascii="仿宋" w:hAnsi="仿宋" w:eastAsia="仿宋" w:cs="仿宋"/>
          <w:color w:val="auto"/>
          <w:sz w:val="32"/>
          <w:szCs w:val="32"/>
        </w:rPr>
        <w:t>贯彻落</w:t>
      </w:r>
      <w:r>
        <w:rPr>
          <w:rFonts w:hint="eastAsia" w:ascii="仿宋" w:hAnsi="仿宋" w:eastAsia="仿宋" w:cs="仿宋"/>
          <w:sz w:val="32"/>
          <w:szCs w:val="32"/>
        </w:rPr>
        <w:t>实党中央国务院关于做好高校毕业生就业工作有关精神和国务院常务会议提出的扩大普通专升本规模要求，按照教育部部署和要求，</w:t>
      </w:r>
      <w:r>
        <w:rPr>
          <w:rFonts w:hint="eastAsia" w:ascii="仿宋" w:hAnsi="仿宋" w:eastAsia="仿宋" w:cs="仿宋"/>
          <w:sz w:val="32"/>
          <w:szCs w:val="32"/>
          <w:lang w:eastAsia="zh-CN"/>
        </w:rPr>
        <w:t>根据</w:t>
      </w:r>
      <w:r>
        <w:rPr>
          <w:rFonts w:hint="eastAsia" w:ascii="仿宋" w:hAnsi="仿宋" w:eastAsia="仿宋" w:cs="仿宋"/>
          <w:sz w:val="32"/>
          <w:szCs w:val="32"/>
        </w:rPr>
        <w:t>《安徽省202</w:t>
      </w:r>
      <w:r>
        <w:rPr>
          <w:rFonts w:hint="eastAsia" w:ascii="仿宋" w:hAnsi="仿宋" w:eastAsia="仿宋" w:cs="仿宋"/>
          <w:sz w:val="32"/>
          <w:szCs w:val="32"/>
          <w:lang w:val="en-US" w:eastAsia="zh-CN"/>
        </w:rPr>
        <w:t>2</w:t>
      </w:r>
      <w:r>
        <w:rPr>
          <w:rFonts w:hint="eastAsia" w:ascii="仿宋" w:hAnsi="仿宋" w:eastAsia="仿宋" w:cs="仿宋"/>
          <w:sz w:val="32"/>
          <w:szCs w:val="32"/>
        </w:rPr>
        <w:t>年普通高校专升本考试招生工作操作办法》</w:t>
      </w:r>
      <w:r>
        <w:rPr>
          <w:rFonts w:hint="eastAsia" w:ascii="仿宋" w:hAnsi="仿宋" w:eastAsia="仿宋" w:cs="仿宋"/>
          <w:sz w:val="32"/>
          <w:szCs w:val="32"/>
          <w:lang w:eastAsia="zh-CN"/>
        </w:rPr>
        <w:t>文件精神，特制定本科目考试大纲。</w:t>
      </w:r>
      <w:r>
        <w:rPr>
          <w:rFonts w:hint="eastAsia" w:ascii="仿宋" w:hAnsi="仿宋" w:eastAsia="仿宋" w:cs="仿宋"/>
          <w:color w:val="auto"/>
          <w:sz w:val="32"/>
          <w:szCs w:val="32"/>
          <w:u w:val="none"/>
          <w:lang w:eastAsia="zh-CN"/>
        </w:rPr>
        <w:t>大纲制定力求反映本专业招生类型的特点，科学、公平、准确、规范地测评考生</w:t>
      </w:r>
      <w:r>
        <w:rPr>
          <w:rFonts w:hint="eastAsia" w:ascii="仿宋" w:hAnsi="仿宋" w:eastAsia="仿宋" w:cs="仿宋"/>
          <w:color w:val="auto"/>
          <w:sz w:val="32"/>
          <w:szCs w:val="32"/>
          <w:u w:val="none"/>
          <w:lang w:val="en-US" w:eastAsia="zh-CN"/>
        </w:rPr>
        <w:t>对工程项目估价的基本原理和基本方法、编制投资估算、设计概算、施工图预算、施工预算等文件的</w:t>
      </w:r>
      <w:r>
        <w:rPr>
          <w:rFonts w:hint="eastAsia" w:ascii="仿宋" w:hAnsi="仿宋" w:eastAsia="仿宋" w:cs="仿宋"/>
          <w:color w:val="auto"/>
          <w:sz w:val="32"/>
          <w:szCs w:val="32"/>
          <w:u w:val="none"/>
          <w:lang w:eastAsia="zh-CN"/>
        </w:rPr>
        <w:t>水平，</w:t>
      </w:r>
      <w:r>
        <w:rPr>
          <w:rFonts w:hint="eastAsia" w:ascii="仿宋" w:hAnsi="仿宋" w:eastAsia="仿宋" w:cs="仿宋"/>
          <w:color w:val="auto"/>
          <w:sz w:val="32"/>
          <w:szCs w:val="32"/>
          <w:u w:val="none"/>
          <w:lang w:val="en-US" w:eastAsia="zh-CN"/>
        </w:rPr>
        <w:t>及</w:t>
      </w:r>
      <w:r>
        <w:rPr>
          <w:rFonts w:hint="eastAsia" w:ascii="仿宋" w:hAnsi="仿宋" w:eastAsia="仿宋" w:cs="仿宋"/>
          <w:color w:val="auto"/>
          <w:sz w:val="32"/>
          <w:szCs w:val="32"/>
          <w:u w:val="none"/>
          <w:lang w:eastAsia="zh-CN"/>
        </w:rPr>
        <w:t>考生分析问题和解决问题及综合知识运用能力。考生可根据本大纲的内容和要求自行学习相关内容和掌握有关知识。</w:t>
      </w:r>
      <w:r>
        <w:rPr>
          <w:rFonts w:hint="eastAsia" w:ascii="仿宋" w:hAnsi="仿宋" w:eastAsia="仿宋" w:cs="仿宋"/>
          <w:sz w:val="32"/>
          <w:szCs w:val="32"/>
        </w:rPr>
        <w:t>考</w:t>
      </w:r>
      <w:r>
        <w:rPr>
          <w:rFonts w:hint="eastAsia" w:ascii="仿宋" w:hAnsi="仿宋" w:eastAsia="仿宋" w:cs="仿宋"/>
          <w:color w:val="auto"/>
          <w:sz w:val="32"/>
          <w:szCs w:val="32"/>
          <w:u w:val="none"/>
          <w:lang w:eastAsia="zh-CN"/>
        </w:rPr>
        <w:t>试采用笔试的方式进行</w:t>
      </w:r>
      <w:r>
        <w:rPr>
          <w:rFonts w:hint="eastAsia" w:ascii="仿宋" w:hAnsi="仿宋" w:eastAsia="仿宋" w:cs="仿宋"/>
          <w:color w:val="auto"/>
          <w:sz w:val="32"/>
          <w:szCs w:val="32"/>
          <w:u w:val="none"/>
          <w:lang w:val="en-US" w:eastAsia="zh-CN"/>
        </w:rPr>
        <w:t>（免笔试学生须参加面试）,</w:t>
      </w:r>
      <w:r>
        <w:rPr>
          <w:rFonts w:hint="eastAsia" w:ascii="仿宋" w:hAnsi="仿宋" w:eastAsia="仿宋" w:cs="仿宋"/>
          <w:color w:val="auto"/>
          <w:sz w:val="32"/>
          <w:szCs w:val="32"/>
          <w:u w:val="none"/>
          <w:lang w:eastAsia="zh-CN"/>
        </w:rPr>
        <w:t>考试时长为</w:t>
      </w:r>
      <w:r>
        <w:rPr>
          <w:rFonts w:hint="eastAsia" w:ascii="仿宋" w:hAnsi="仿宋" w:eastAsia="仿宋" w:cs="仿宋"/>
          <w:color w:val="auto"/>
          <w:sz w:val="32"/>
          <w:szCs w:val="32"/>
          <w:u w:val="none"/>
          <w:lang w:val="en-US" w:eastAsia="zh-CN"/>
        </w:rPr>
        <w:t>120分钟。</w:t>
      </w:r>
    </w:p>
    <w:p>
      <w:pPr>
        <w:spacing w:line="0" w:lineRule="atLeast"/>
        <w:ind w:firstLine="640" w:firstLineChars="200"/>
        <w:jc w:val="left"/>
        <w:rPr>
          <w:rFonts w:hint="eastAsia" w:ascii="仿宋" w:hAnsi="仿宋" w:eastAsia="仿宋" w:cs="仿宋"/>
          <w:color w:val="auto"/>
          <w:sz w:val="32"/>
          <w:szCs w:val="32"/>
          <w:u w:val="none"/>
          <w:lang w:eastAsia="zh-CN"/>
        </w:rPr>
      </w:pPr>
    </w:p>
    <w:p>
      <w:pPr>
        <w:spacing w:line="0" w:lineRule="atLeast"/>
        <w:ind w:firstLine="640" w:firstLineChars="200"/>
        <w:jc w:val="left"/>
        <w:rPr>
          <w:rFonts w:hint="eastAsia" w:ascii="仿宋" w:hAnsi="仿宋" w:eastAsia="仿宋" w:cs="仿宋"/>
          <w:sz w:val="32"/>
          <w:szCs w:val="32"/>
          <w:lang w:eastAsia="zh-CN"/>
        </w:rPr>
      </w:pPr>
      <w:r>
        <w:rPr>
          <w:rFonts w:hint="eastAsia" w:ascii="仿宋" w:hAnsi="仿宋" w:eastAsia="仿宋" w:cs="仿宋"/>
          <w:color w:val="auto"/>
          <w:sz w:val="32"/>
          <w:szCs w:val="32"/>
          <w:u w:val="none"/>
          <w:lang w:eastAsia="zh-CN"/>
        </w:rPr>
        <w:t>本</w:t>
      </w:r>
      <w:r>
        <w:rPr>
          <w:rFonts w:hint="eastAsia" w:ascii="仿宋" w:hAnsi="仿宋" w:eastAsia="仿宋" w:cs="仿宋"/>
          <w:color w:val="auto"/>
          <w:sz w:val="32"/>
          <w:szCs w:val="32"/>
          <w:u w:val="none"/>
        </w:rPr>
        <w:t>大纲</w:t>
      </w:r>
      <w:r>
        <w:rPr>
          <w:rFonts w:hint="eastAsia" w:ascii="仿宋" w:hAnsi="仿宋" w:eastAsia="仿宋" w:cs="仿宋"/>
          <w:color w:val="auto"/>
          <w:sz w:val="32"/>
          <w:szCs w:val="32"/>
          <w:u w:val="none"/>
          <w:lang w:eastAsia="zh-CN"/>
        </w:rPr>
        <w:t>由皖江工学院</w:t>
      </w:r>
      <w:r>
        <w:rPr>
          <w:rFonts w:hint="eastAsia" w:ascii="仿宋" w:hAnsi="仿宋" w:eastAsia="仿宋" w:cs="仿宋"/>
          <w:color w:val="auto"/>
          <w:sz w:val="32"/>
          <w:szCs w:val="32"/>
          <w:highlight w:val="none"/>
          <w:u w:val="none"/>
          <w:lang w:val="en-US" w:eastAsia="zh-CN"/>
        </w:rPr>
        <w:t>管理</w:t>
      </w:r>
      <w:r>
        <w:rPr>
          <w:rFonts w:hint="eastAsia" w:ascii="仿宋" w:hAnsi="仿宋" w:eastAsia="仿宋" w:cs="仿宋"/>
          <w:color w:val="auto"/>
          <w:sz w:val="32"/>
          <w:szCs w:val="32"/>
          <w:u w:val="none"/>
          <w:lang w:eastAsia="zh-CN"/>
        </w:rPr>
        <w:t>学院负责解释。</w:t>
      </w:r>
    </w:p>
    <w:p>
      <w:pPr>
        <w:spacing w:line="0" w:lineRule="atLeast"/>
        <w:ind w:firstLine="640" w:firstLineChars="200"/>
        <w:jc w:val="left"/>
        <w:rPr>
          <w:rFonts w:hint="eastAsia" w:ascii="仿宋" w:hAnsi="仿宋" w:eastAsia="仿宋" w:cs="仿宋"/>
          <w:sz w:val="32"/>
          <w:szCs w:val="32"/>
          <w:lang w:eastAsia="zh-CN"/>
        </w:rPr>
      </w:pPr>
    </w:p>
    <w:p>
      <w:pPr>
        <w:numPr>
          <w:ilvl w:val="0"/>
          <w:numId w:val="1"/>
        </w:numPr>
        <w:spacing w:line="0" w:lineRule="atLeast"/>
        <w:ind w:left="0" w:leftChars="0" w:firstLine="640" w:firstLineChars="200"/>
        <w:jc w:val="left"/>
        <w:rPr>
          <w:rFonts w:hint="eastAsia" w:ascii="黑体" w:hAnsi="黑体" w:eastAsia="黑体" w:cs="黑体"/>
          <w:sz w:val="32"/>
          <w:szCs w:val="32"/>
        </w:rPr>
      </w:pPr>
      <w:r>
        <w:rPr>
          <w:rFonts w:hint="eastAsia" w:ascii="黑体" w:hAnsi="黑体" w:eastAsia="黑体" w:cs="黑体"/>
          <w:sz w:val="32"/>
          <w:szCs w:val="32"/>
        </w:rPr>
        <w:t>考核目标与要求</w:t>
      </w:r>
    </w:p>
    <w:p>
      <w:pPr>
        <w:spacing w:line="0" w:lineRule="atLeast"/>
        <w:ind w:firstLine="640" w:firstLineChars="200"/>
        <w:jc w:val="left"/>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考核学生对工程项目估价基础知识的熟悉程度，对工程项目估价基本原理与方法的掌握程度。 </w:t>
      </w:r>
    </w:p>
    <w:p>
      <w:pPr>
        <w:spacing w:line="0" w:lineRule="atLeast"/>
        <w:ind w:firstLine="640" w:firstLineChars="200"/>
        <w:jc w:val="left"/>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要求学生熟悉工程项目估价的基本原理，掌握工程建设项目的划分层次，了解工程项目建设程序及其与工程估价的对应关系；掌握工程造价费用的构成，熟悉工程造价费用计算方法和程序；熟悉工程定额的编制原理和方法，掌握工程定额的应用；掌握工程计算的基本原理与方法，熟悉部分工程量计算的基本规则，了解工程量清单计价的原理和方法；熟悉投资估算的基本原理，掌握投资估算的编制方法；熟悉设计概算的基本原理，掌握设计概算的编制方法；熟悉施工预算及施工图预算的基本原理，了解施工预算及施工图预算的编制方法。</w:t>
      </w:r>
    </w:p>
    <w:p>
      <w:pPr>
        <w:numPr>
          <w:ilvl w:val="0"/>
          <w:numId w:val="0"/>
        </w:numPr>
        <w:spacing w:line="0" w:lineRule="atLeast"/>
        <w:jc w:val="left"/>
        <w:rPr>
          <w:rFonts w:hint="eastAsia" w:ascii="仿宋" w:hAnsi="仿宋" w:eastAsia="仿宋" w:cs="仿宋"/>
          <w:sz w:val="32"/>
          <w:szCs w:val="32"/>
        </w:rPr>
      </w:pPr>
    </w:p>
    <w:p>
      <w:pPr>
        <w:numPr>
          <w:ilvl w:val="0"/>
          <w:numId w:val="1"/>
        </w:numPr>
        <w:spacing w:line="0" w:lineRule="atLeast"/>
        <w:ind w:left="0" w:leftChars="0" w:firstLine="640" w:firstLineChars="200"/>
        <w:jc w:val="left"/>
        <w:rPr>
          <w:rFonts w:hint="eastAsia" w:ascii="仿宋" w:hAnsi="仿宋" w:eastAsia="仿宋" w:cs="仿宋"/>
          <w:sz w:val="32"/>
          <w:szCs w:val="32"/>
          <w:lang w:eastAsia="zh-CN"/>
        </w:rPr>
      </w:pPr>
      <w:r>
        <w:rPr>
          <w:rFonts w:hint="eastAsia" w:ascii="黑体" w:hAnsi="黑体" w:eastAsia="黑体" w:cs="黑体"/>
          <w:sz w:val="32"/>
          <w:szCs w:val="32"/>
        </w:rPr>
        <w:t>考试范围与要求</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能力模块1 工程估价概论</w:t>
      </w:r>
    </w:p>
    <w:p>
      <w:pPr>
        <w:keepNext w:val="0"/>
        <w:keepLines w:val="0"/>
        <w:pageBreakBefore w:val="0"/>
        <w:widowControl w:val="0"/>
        <w:kinsoku/>
        <w:wordWrap/>
        <w:overflowPunct/>
        <w:topLinePunct w:val="0"/>
        <w:autoSpaceDE/>
        <w:autoSpaceDN/>
        <w:bidi w:val="0"/>
        <w:adjustRightInd w:val="0"/>
        <w:snapToGrid/>
        <w:spacing w:line="240" w:lineRule="auto"/>
        <w:ind w:left="0" w:hanging="960" w:hangingChars="3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工程项目建设各阶段的工程估价工程项目建设各阶段的工程估价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 xml:space="preserve"> 工程估价的历史发展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一般</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 xml:space="preserve"> 工程估价工作内容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工程估价原则、程序和依据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工程项目划分及建筑安装费用构成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能力模块2 工程估价依据</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工程估价流程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工程造价构成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）定额的含义、特性、作用（</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）工程定额的含义、分类（</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施工定额；预算定额</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概算定额与概算指标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七</w:t>
      </w:r>
      <w:r>
        <w:rPr>
          <w:rFonts w:hint="eastAsia" w:ascii="仿宋" w:hAnsi="仿宋" w:eastAsia="仿宋" w:cs="仿宋"/>
          <w:sz w:val="32"/>
          <w:szCs w:val="32"/>
          <w:lang w:eastAsia="zh-CN"/>
        </w:rPr>
        <w:t>）工作时间分析（</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八</w:t>
      </w:r>
      <w:r>
        <w:rPr>
          <w:rFonts w:hint="eastAsia" w:ascii="仿宋" w:hAnsi="仿宋" w:eastAsia="仿宋" w:cs="仿宋"/>
          <w:sz w:val="32"/>
          <w:szCs w:val="32"/>
          <w:lang w:eastAsia="zh-CN"/>
        </w:rPr>
        <w:t>）确定定额消耗量的基本方法（</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九</w:t>
      </w:r>
      <w:r>
        <w:rPr>
          <w:rFonts w:hint="eastAsia" w:ascii="仿宋" w:hAnsi="仿宋" w:eastAsia="仿宋" w:cs="仿宋"/>
          <w:sz w:val="32"/>
          <w:szCs w:val="32"/>
          <w:lang w:eastAsia="zh-CN"/>
        </w:rPr>
        <w:t>）</w:t>
      </w:r>
      <w:r>
        <w:rPr>
          <w:rFonts w:hint="eastAsia" w:ascii="仿宋" w:hAnsi="仿宋" w:eastAsia="仿宋" w:cs="仿宋"/>
          <w:sz w:val="32"/>
          <w:szCs w:val="32"/>
        </w:rPr>
        <w:t>工程量清单计价规范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0" w:lineRule="atLeast"/>
        <w:ind w:firstLine="960" w:firstLineChars="3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能力</w:t>
      </w:r>
      <w:r>
        <w:rPr>
          <w:rFonts w:hint="eastAsia" w:ascii="仿宋" w:hAnsi="仿宋" w:eastAsia="仿宋" w:cs="仿宋"/>
          <w:sz w:val="32"/>
          <w:szCs w:val="32"/>
        </w:rPr>
        <w:t>模块3 工程估价流程与案例</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投资估算</w:t>
      </w:r>
      <w:r>
        <w:rPr>
          <w:rFonts w:hint="eastAsia" w:ascii="仿宋" w:hAnsi="仿宋" w:eastAsia="仿宋" w:cs="仿宋"/>
          <w:sz w:val="32"/>
          <w:szCs w:val="32"/>
          <w:lang w:val="en-US" w:eastAsia="zh-CN"/>
        </w:rPr>
        <w:t>的编制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单位工程</w:t>
      </w:r>
      <w:r>
        <w:rPr>
          <w:rFonts w:hint="eastAsia" w:ascii="仿宋" w:hAnsi="仿宋" w:eastAsia="仿宋" w:cs="仿宋"/>
          <w:sz w:val="32"/>
          <w:szCs w:val="32"/>
        </w:rPr>
        <w:t>设计概算</w:t>
      </w:r>
      <w:r>
        <w:rPr>
          <w:rFonts w:hint="eastAsia" w:ascii="仿宋" w:hAnsi="仿宋" w:eastAsia="仿宋" w:cs="仿宋"/>
          <w:sz w:val="32"/>
          <w:szCs w:val="32"/>
          <w:lang w:val="en-US" w:eastAsia="zh-CN"/>
        </w:rPr>
        <w:t>的编制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施工图预算</w:t>
      </w:r>
      <w:r>
        <w:rPr>
          <w:rFonts w:hint="eastAsia" w:ascii="仿宋" w:hAnsi="仿宋" w:eastAsia="仿宋" w:cs="仿宋"/>
          <w:sz w:val="32"/>
          <w:szCs w:val="32"/>
          <w:lang w:val="en-US" w:eastAsia="zh-CN"/>
        </w:rPr>
        <w:t>的编制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招投标阶段的工程计价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一般</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施工阶段的工程计价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竣工决算</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能力模块4 建设工程计量</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工程量计算原理与方法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建筑面积计算规范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）工程量计算的步骤与顺序（</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）工程量计算的方法（</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）建筑工程计量（</w:t>
      </w:r>
      <w:r>
        <w:rPr>
          <w:rFonts w:hint="eastAsia" w:ascii="仿宋" w:hAnsi="仿宋" w:eastAsia="仿宋" w:cs="仿宋"/>
          <w:sz w:val="32"/>
          <w:szCs w:val="32"/>
          <w:lang w:val="en-US" w:eastAsia="zh-CN"/>
        </w:rPr>
        <w:t>基础工程、砌筑工程、混凝土工程为重点，其他为一般</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能力模块5 建设工程工程量清单编制</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建设工程工程量清单编制概述</w:t>
      </w:r>
      <w:r>
        <w:rPr>
          <w:rFonts w:hint="eastAsia" w:ascii="仿宋" w:hAnsi="仿宋" w:eastAsia="仿宋" w:cs="仿宋"/>
          <w:sz w:val="32"/>
          <w:szCs w:val="32"/>
          <w:lang w:eastAsia="zh-CN"/>
        </w:rPr>
        <w:t>（次</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工程量清单的组成及其格式要求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能力模块6 建设工程工程量清单计价</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建设工程工程量清单计价</w:t>
      </w:r>
      <w:r>
        <w:rPr>
          <w:rFonts w:hint="eastAsia" w:ascii="仿宋" w:hAnsi="仿宋" w:eastAsia="仿宋" w:cs="仿宋"/>
          <w:sz w:val="32"/>
          <w:szCs w:val="32"/>
          <w:lang w:val="en-US" w:eastAsia="zh-CN"/>
        </w:rPr>
        <w:t>含义</w:t>
      </w:r>
      <w:r>
        <w:rPr>
          <w:rFonts w:hint="eastAsia" w:ascii="仿宋" w:hAnsi="仿宋" w:eastAsia="仿宋" w:cs="仿宋"/>
          <w:sz w:val="32"/>
          <w:szCs w:val="32"/>
          <w:lang w:eastAsia="zh-CN"/>
        </w:rPr>
        <w:t>（次</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）建筑工程工程量清单计价</w:t>
      </w:r>
      <w:r>
        <w:rPr>
          <w:rFonts w:hint="eastAsia" w:ascii="仿宋" w:hAnsi="仿宋" w:eastAsia="仿宋" w:cs="仿宋"/>
          <w:sz w:val="32"/>
          <w:szCs w:val="32"/>
          <w:lang w:val="en-US" w:eastAsia="zh-CN"/>
        </w:rPr>
        <w:t>与定额计价的区别（重点）</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建筑工程工程量清单计价（</w:t>
      </w:r>
      <w:r>
        <w:rPr>
          <w:rFonts w:hint="eastAsia" w:ascii="仿宋" w:hAnsi="仿宋" w:eastAsia="仿宋" w:cs="仿宋"/>
          <w:sz w:val="32"/>
          <w:szCs w:val="32"/>
          <w:lang w:val="en-US" w:eastAsia="zh-CN"/>
        </w:rPr>
        <w:t>基础工程、砌筑工程、混凝土工程为次重点，其他为一般</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p>
    <w:p>
      <w:pPr>
        <w:numPr>
          <w:ilvl w:val="0"/>
          <w:numId w:val="0"/>
        </w:numPr>
        <w:spacing w:line="0" w:lineRule="atLeast"/>
        <w:ind w:leftChars="0" w:firstLine="600" w:firstLineChars="200"/>
        <w:jc w:val="left"/>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考试教材与参考书</w:t>
      </w:r>
    </w:p>
    <w:p>
      <w:pPr>
        <w:spacing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1．教材：</w:t>
      </w:r>
    </w:p>
    <w:p>
      <w:pPr>
        <w:spacing w:line="40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张英</w:t>
      </w:r>
      <w:r>
        <w:rPr>
          <w:rFonts w:hint="eastAsia" w:ascii="仿宋" w:hAnsi="仿宋" w:eastAsia="仿宋" w:cs="仿宋"/>
          <w:sz w:val="28"/>
          <w:szCs w:val="28"/>
        </w:rPr>
        <w:t>编，《</w:t>
      </w:r>
      <w:r>
        <w:rPr>
          <w:rFonts w:hint="eastAsia" w:ascii="仿宋" w:hAnsi="仿宋" w:eastAsia="仿宋" w:cs="仿宋"/>
          <w:sz w:val="28"/>
          <w:szCs w:val="28"/>
          <w:lang w:val="en-US" w:eastAsia="zh-CN"/>
        </w:rPr>
        <w:t>建筑工程估价</w:t>
      </w:r>
      <w:r>
        <w:rPr>
          <w:rFonts w:hint="eastAsia" w:ascii="仿宋" w:hAnsi="仿宋" w:eastAsia="仿宋" w:cs="仿宋"/>
          <w:sz w:val="28"/>
          <w:szCs w:val="28"/>
        </w:rPr>
        <w:t>》，</w:t>
      </w:r>
      <w:r>
        <w:rPr>
          <w:rFonts w:hint="eastAsia" w:ascii="仿宋" w:hAnsi="仿宋" w:eastAsia="仿宋" w:cs="仿宋"/>
          <w:sz w:val="28"/>
          <w:szCs w:val="28"/>
          <w:lang w:val="en-US" w:eastAsia="zh-CN"/>
        </w:rPr>
        <w:t>北京大学出版社</w:t>
      </w:r>
      <w:r>
        <w:rPr>
          <w:rFonts w:hint="eastAsia" w:ascii="仿宋" w:hAnsi="仿宋" w:eastAsia="仿宋" w:cs="仿宋"/>
          <w:sz w:val="28"/>
          <w:szCs w:val="28"/>
        </w:rPr>
        <w:t>，</w:t>
      </w:r>
      <w:r>
        <w:rPr>
          <w:rFonts w:hint="eastAsia" w:ascii="仿宋" w:hAnsi="仿宋" w:eastAsia="仿宋" w:cs="仿宋"/>
          <w:sz w:val="28"/>
          <w:szCs w:val="28"/>
          <w:lang w:val="en-US" w:eastAsia="zh-CN"/>
        </w:rPr>
        <w:t>2013</w:t>
      </w:r>
    </w:p>
    <w:p>
      <w:pPr>
        <w:spacing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2．参考书：</w:t>
      </w:r>
    </w:p>
    <w:p>
      <w:pPr>
        <w:spacing w:line="40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（1）郑君君编《工程估价》(第</w:t>
      </w:r>
      <w:r>
        <w:rPr>
          <w:rFonts w:hint="eastAsia" w:ascii="仿宋" w:hAnsi="仿宋" w:eastAsia="仿宋" w:cs="仿宋"/>
          <w:sz w:val="28"/>
          <w:szCs w:val="28"/>
          <w:lang w:val="en-US" w:eastAsia="zh-CN"/>
        </w:rPr>
        <w:t>四</w:t>
      </w:r>
      <w:r>
        <w:rPr>
          <w:rFonts w:hint="eastAsia" w:ascii="仿宋" w:hAnsi="仿宋" w:eastAsia="仿宋" w:cs="仿宋"/>
          <w:sz w:val="28"/>
          <w:szCs w:val="28"/>
        </w:rPr>
        <w:t>版)，武汉大学出版社.</w:t>
      </w:r>
      <w:r>
        <w:rPr>
          <w:rFonts w:hint="eastAsia" w:ascii="仿宋" w:hAnsi="仿宋" w:eastAsia="仿宋" w:cs="仿宋"/>
          <w:sz w:val="28"/>
          <w:szCs w:val="28"/>
          <w:lang w:val="en-US" w:eastAsia="zh-CN"/>
        </w:rPr>
        <w:t>2017</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（2）刘博、简迎辉</w:t>
      </w:r>
      <w:r>
        <w:rPr>
          <w:rFonts w:hint="eastAsia" w:ascii="仿宋" w:hAnsi="仿宋" w:eastAsia="仿宋" w:cs="仿宋"/>
          <w:sz w:val="28"/>
          <w:szCs w:val="28"/>
          <w:lang w:val="en-US" w:eastAsia="zh-CN"/>
        </w:rPr>
        <w:t>等</w:t>
      </w:r>
      <w:r>
        <w:rPr>
          <w:rFonts w:hint="eastAsia" w:ascii="仿宋" w:hAnsi="仿宋" w:eastAsia="仿宋" w:cs="仿宋"/>
          <w:sz w:val="28"/>
          <w:szCs w:val="28"/>
        </w:rPr>
        <w:t>编《房屋建筑与园林工程估价》</w:t>
      </w:r>
      <w:r>
        <w:rPr>
          <w:rFonts w:hint="eastAsia" w:ascii="仿宋" w:hAnsi="仿宋" w:eastAsia="仿宋" w:cs="仿宋"/>
          <w:sz w:val="28"/>
          <w:szCs w:val="28"/>
          <w:lang w:eastAsia="zh-CN"/>
        </w:rPr>
        <w:t>，东南大学出版社</w:t>
      </w:r>
      <w:r>
        <w:rPr>
          <w:rFonts w:hint="eastAsia" w:ascii="仿宋" w:hAnsi="仿宋" w:eastAsia="仿宋" w:cs="仿宋"/>
          <w:sz w:val="28"/>
          <w:szCs w:val="28"/>
          <w:lang w:val="en-US" w:eastAsia="zh-CN"/>
        </w:rPr>
        <w:t>.2016</w:t>
      </w:r>
    </w:p>
    <w:p>
      <w:pPr>
        <w:widowControl w:val="0"/>
        <w:numPr>
          <w:ilvl w:val="0"/>
          <w:numId w:val="0"/>
        </w:numPr>
        <w:spacing w:line="0" w:lineRule="atLeast"/>
        <w:jc w:val="left"/>
        <w:rPr>
          <w:rFonts w:hint="eastAsia" w:ascii="黑体" w:hAnsi="黑体" w:eastAsia="黑体"/>
          <w:sz w:val="30"/>
          <w:szCs w:val="30"/>
        </w:rPr>
      </w:pPr>
    </w:p>
    <w:p>
      <w:pPr>
        <w:widowControl w:val="0"/>
        <w:numPr>
          <w:ilvl w:val="0"/>
          <w:numId w:val="0"/>
        </w:numPr>
        <w:spacing w:line="0" w:lineRule="atLeast"/>
        <w:jc w:val="left"/>
        <w:rPr>
          <w:rFonts w:hint="eastAsia" w:ascii="黑体" w:hAnsi="黑体" w:eastAsia="黑体"/>
          <w:sz w:val="30"/>
          <w:szCs w:val="30"/>
        </w:rPr>
      </w:pPr>
    </w:p>
    <w:p>
      <w:pPr>
        <w:widowControl w:val="0"/>
        <w:numPr>
          <w:ilvl w:val="0"/>
          <w:numId w:val="0"/>
        </w:numPr>
        <w:spacing w:line="0" w:lineRule="atLeast"/>
        <w:jc w:val="left"/>
        <w:rPr>
          <w:rFonts w:hint="eastAsia" w:ascii="黑体" w:hAnsi="黑体" w:eastAsia="黑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ZDkxMDk0NmJjNzczZTAxMmNmODU1NzQ3YzU0MmQifQ=="/>
  </w:docVars>
  <w:rsids>
    <w:rsidRoot w:val="40CE5CD7"/>
    <w:rsid w:val="00E51379"/>
    <w:rsid w:val="0A0B0691"/>
    <w:rsid w:val="0E5F2ECD"/>
    <w:rsid w:val="12F8295C"/>
    <w:rsid w:val="146B5112"/>
    <w:rsid w:val="166023D5"/>
    <w:rsid w:val="167267D3"/>
    <w:rsid w:val="1FEF447A"/>
    <w:rsid w:val="2E62460A"/>
    <w:rsid w:val="2F7E15E9"/>
    <w:rsid w:val="3565070D"/>
    <w:rsid w:val="362B2A5B"/>
    <w:rsid w:val="40CE5CD7"/>
    <w:rsid w:val="43B3682F"/>
    <w:rsid w:val="47B820CB"/>
    <w:rsid w:val="4B9C3F15"/>
    <w:rsid w:val="5109480A"/>
    <w:rsid w:val="526068D5"/>
    <w:rsid w:val="573312AC"/>
    <w:rsid w:val="5D261856"/>
    <w:rsid w:val="5E1573A3"/>
    <w:rsid w:val="5F072B78"/>
    <w:rsid w:val="60144815"/>
    <w:rsid w:val="602633B3"/>
    <w:rsid w:val="60DD3256"/>
    <w:rsid w:val="613B7AD1"/>
    <w:rsid w:val="61767019"/>
    <w:rsid w:val="6B796B16"/>
    <w:rsid w:val="6F6C5343"/>
    <w:rsid w:val="72067E07"/>
    <w:rsid w:val="72561E21"/>
    <w:rsid w:val="7265370D"/>
    <w:rsid w:val="74267479"/>
    <w:rsid w:val="7CA82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2020-04-14T07:53:00Z</dcterms:created>
  <dc:creator>立秋</dc:creator>
  <cp:lastModifiedBy>三水君</cp:lastModifiedBy>
  <dcterms:modified xsi:type="dcterms:W3CDTF">2024-10-29T00:29:03Z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RubyTemplateID" linkTarget="0">
    <vt:lpwstr>6</vt:lpwstr>
  </property>
  <property fmtid="{D5CDD505-2E9C-101B-9397-08002B2CF9AE}" pid="4" name="ICV">
    <vt:lpwstr>013F61C2D4284F9FA7EAEBBCA4DB1D01_12</vt:lpwstr>
  </property>
</Properties>
</file>