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rFonts w:hint="eastAsia" w:ascii="宋体" w:hAnsi="宋体" w:eastAsia="宋体" w:cs="宋体"/>
          <w:b/>
          <w:sz w:val="40"/>
        </w:rPr>
      </w:pPr>
      <w:r>
        <w:rPr>
          <w:rFonts w:hint="eastAsia" w:ascii="宋体" w:hAnsi="宋体" w:eastAsia="宋体" w:cs="宋体"/>
          <w:b/>
          <w:sz w:val="40"/>
        </w:rPr>
        <w:t>皖江工学院202</w:t>
      </w:r>
      <w:r>
        <w:rPr>
          <w:rFonts w:hint="eastAsia" w:ascii="宋体" w:hAnsi="宋体" w:cs="宋体"/>
          <w:b/>
          <w:sz w:val="40"/>
          <w:lang w:val="en-US" w:eastAsia="zh-CN"/>
        </w:rPr>
        <w:t>5</w:t>
      </w:r>
      <w:r>
        <w:rPr>
          <w:rFonts w:hint="eastAsia" w:ascii="宋体" w:hAnsi="宋体" w:eastAsia="宋体" w:cs="宋体"/>
          <w:b/>
          <w:sz w:val="40"/>
        </w:rPr>
        <w:t>年专升本考试</w:t>
      </w:r>
    </w:p>
    <w:p>
      <w:pPr>
        <w:spacing w:line="560" w:lineRule="exact"/>
        <w:jc w:val="center"/>
        <w:rPr>
          <w:rFonts w:hint="eastAsia" w:ascii="宋体" w:hAnsi="宋体" w:eastAsia="宋体" w:cs="宋体"/>
          <w:sz w:val="32"/>
          <w:szCs w:val="32"/>
        </w:rPr>
      </w:pPr>
      <w:r>
        <w:rPr>
          <w:rFonts w:hint="eastAsia" w:ascii="宋体" w:hAnsi="宋体" w:eastAsia="宋体" w:cs="宋体"/>
          <w:b/>
          <w:sz w:val="40"/>
        </w:rPr>
        <w:t>《财务管理》考试大纲</w:t>
      </w:r>
      <w:bookmarkStart w:id="0" w:name="_GoBack"/>
      <w:bookmarkEnd w:id="0"/>
    </w:p>
    <w:p>
      <w:pPr>
        <w:spacing w:line="0" w:lineRule="atLeast"/>
        <w:ind w:firstLine="640" w:firstLineChars="200"/>
        <w:jc w:val="left"/>
        <w:rPr>
          <w:rFonts w:hint="eastAsia" w:ascii="黑体" w:hAnsi="黑体" w:eastAsia="黑体" w:cs="黑体"/>
          <w:sz w:val="32"/>
          <w:szCs w:val="32"/>
        </w:rPr>
      </w:pPr>
    </w:p>
    <w:p>
      <w:pPr>
        <w:spacing w:line="0" w:lineRule="atLeas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sz w:val="32"/>
          <w:szCs w:val="32"/>
        </w:rPr>
        <w:t>《财务管理》考试是我校财务管理专业和会计学专业专升本招生考试专业课考试科目之一，考试对象为报考我校财务管理专业和会计学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的财务管理的基本原理和方法，企业日常资金运营等财务活动的决策分析的知识掌握水平，考生分析问题和解决问题及综合知识运用能力。考生可根据本大纲的内容和要求自行学习相关内容和掌握有关知识。考试采用笔试的方式进行（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sz w:val="32"/>
          <w:szCs w:val="32"/>
          <w:lang w:eastAsia="zh-CN"/>
        </w:rPr>
        <w:t>财经</w:t>
      </w:r>
      <w:r>
        <w:rPr>
          <w:rFonts w:hint="eastAsia" w:ascii="仿宋" w:hAnsi="仿宋" w:eastAsia="仿宋" w:cs="仿宋"/>
          <w:sz w:val="32"/>
          <w:szCs w:val="32"/>
        </w:rPr>
        <w:t>学院负责解释。</w:t>
      </w:r>
    </w:p>
    <w:p>
      <w:pPr>
        <w:spacing w:line="0" w:lineRule="atLeast"/>
        <w:ind w:firstLine="640" w:firstLineChars="200"/>
        <w:jc w:val="left"/>
        <w:rPr>
          <w:rFonts w:hint="eastAsia" w:ascii="仿宋" w:hAnsi="仿宋" w:eastAsia="仿宋" w:cs="仿宋"/>
          <w:sz w:val="32"/>
          <w:szCs w:val="32"/>
        </w:rPr>
      </w:pPr>
    </w:p>
    <w:p>
      <w:pPr>
        <w:numPr>
          <w:ilvl w:val="0"/>
          <w:numId w:val="1"/>
        </w:numPr>
        <w:spacing w:line="0" w:lineRule="atLeas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考核目标与要求</w:t>
      </w:r>
    </w:p>
    <w:p>
      <w:pPr>
        <w:pStyle w:val="7"/>
        <w:spacing w:line="0" w:lineRule="atLeast"/>
        <w:ind w:left="420" w:firstLine="640"/>
        <w:jc w:val="left"/>
        <w:rPr>
          <w:rFonts w:hint="eastAsia" w:ascii="仿宋" w:hAnsi="仿宋" w:eastAsia="仿宋" w:cs="仿宋"/>
          <w:sz w:val="32"/>
          <w:szCs w:val="32"/>
        </w:rPr>
      </w:pPr>
      <w:r>
        <w:rPr>
          <w:rFonts w:hint="eastAsia" w:ascii="仿宋" w:hAnsi="仿宋" w:eastAsia="仿宋" w:cs="仿宋"/>
          <w:sz w:val="32"/>
          <w:szCs w:val="32"/>
        </w:rPr>
        <w:t>财务管理是一门专业基础课程，要求学生在学完本课程后能够牢固地掌握课本的基本知识，并具有应用所学知识说明和处理实际问题的能力，据此本课程的考试着重基础知识考察和应用能力考查两个方面，包括识记、理解、应用三个层次。</w:t>
      </w:r>
    </w:p>
    <w:p>
      <w:pPr>
        <w:spacing w:line="0" w:lineRule="atLeas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各层次的含义如下：</w:t>
      </w:r>
    </w:p>
    <w:p>
      <w:pPr>
        <w:spacing w:line="0" w:lineRule="atLeast"/>
        <w:ind w:firstLine="480" w:firstLineChars="150"/>
        <w:jc w:val="left"/>
        <w:rPr>
          <w:rFonts w:hint="eastAsia" w:ascii="仿宋" w:hAnsi="仿宋" w:eastAsia="仿宋" w:cs="仿宋"/>
          <w:sz w:val="32"/>
          <w:szCs w:val="32"/>
        </w:rPr>
      </w:pPr>
      <w:r>
        <w:rPr>
          <w:rFonts w:hint="eastAsia" w:ascii="仿宋" w:hAnsi="仿宋" w:eastAsia="仿宋" w:cs="仿宋"/>
          <w:sz w:val="32"/>
          <w:szCs w:val="32"/>
        </w:rPr>
        <w:t>识记指学习后能够记住的内容，包括概念原则方法的含义，这是最低层次的要求。</w:t>
      </w:r>
    </w:p>
    <w:p>
      <w:pPr>
        <w:spacing w:line="0" w:lineRule="atLeast"/>
        <w:ind w:firstLine="480" w:firstLineChars="150"/>
        <w:jc w:val="left"/>
        <w:rPr>
          <w:rFonts w:hint="eastAsia" w:ascii="仿宋" w:hAnsi="仿宋" w:eastAsia="仿宋" w:cs="仿宋"/>
          <w:sz w:val="32"/>
          <w:szCs w:val="32"/>
        </w:rPr>
      </w:pPr>
      <w:r>
        <w:rPr>
          <w:rFonts w:hint="eastAsia" w:ascii="仿宋" w:hAnsi="仿宋" w:eastAsia="仿宋" w:cs="仿宋"/>
          <w:sz w:val="32"/>
          <w:szCs w:val="32"/>
        </w:rPr>
        <w:t>理解是指在识记的基础上全面的把握基本的概念，基本原则，基本方法，并能表达基本内容和基本原理，能够分析和说明相关问题的区别与联系，这是较高层次的内容。</w:t>
      </w:r>
    </w:p>
    <w:p>
      <w:pPr>
        <w:spacing w:line="0" w:lineRule="atLeast"/>
        <w:ind w:firstLine="480" w:firstLineChars="150"/>
        <w:jc w:val="left"/>
        <w:rPr>
          <w:rFonts w:hint="eastAsia" w:ascii="仿宋" w:hAnsi="仿宋" w:eastAsia="仿宋" w:cs="仿宋"/>
          <w:sz w:val="32"/>
          <w:szCs w:val="32"/>
        </w:rPr>
      </w:pPr>
      <w:r>
        <w:rPr>
          <w:rFonts w:hint="eastAsia" w:ascii="仿宋" w:hAnsi="仿宋" w:eastAsia="仿宋" w:cs="仿宋"/>
          <w:sz w:val="32"/>
          <w:szCs w:val="32"/>
        </w:rPr>
        <w:t>应用是指能够应用学习过的知识分析计算和处理涉及一两个知识点或多个知识点的会计问题，包括简单应用和综合应用。</w:t>
      </w:r>
    </w:p>
    <w:p>
      <w:pPr>
        <w:spacing w:line="0" w:lineRule="atLeast"/>
        <w:jc w:val="left"/>
        <w:rPr>
          <w:rFonts w:hint="eastAsia" w:ascii="黑体" w:hAnsi="黑体" w:eastAsia="黑体" w:cs="黑体"/>
          <w:sz w:val="32"/>
          <w:szCs w:val="32"/>
        </w:rPr>
      </w:pPr>
    </w:p>
    <w:p>
      <w:pPr>
        <w:spacing w:line="0" w:lineRule="atLeast"/>
        <w:jc w:val="left"/>
        <w:rPr>
          <w:rFonts w:hint="eastAsia" w:ascii="仿宋" w:hAnsi="仿宋" w:eastAsia="仿宋" w:cs="仿宋"/>
          <w:sz w:val="32"/>
          <w:szCs w:val="32"/>
        </w:rPr>
      </w:pPr>
      <w:r>
        <w:rPr>
          <w:rFonts w:hint="eastAsia" w:ascii="黑体" w:hAnsi="黑体" w:eastAsia="黑体" w:cs="黑体"/>
          <w:sz w:val="32"/>
          <w:szCs w:val="32"/>
        </w:rPr>
        <w:t>三、考试范围与要求</w:t>
      </w:r>
    </w:p>
    <w:p>
      <w:pPr>
        <w:spacing w:line="400" w:lineRule="exact"/>
        <w:rPr>
          <w:rFonts w:hint="eastAsia" w:ascii="仿宋" w:hAnsi="仿宋" w:eastAsia="仿宋" w:cs="仿宋"/>
          <w:sz w:val="30"/>
          <w:szCs w:val="30"/>
        </w:rPr>
      </w:pPr>
      <w:r>
        <w:rPr>
          <w:rFonts w:hint="eastAsia" w:ascii="仿宋" w:hAnsi="仿宋" w:eastAsia="仿宋" w:cs="仿宋"/>
          <w:sz w:val="30"/>
          <w:szCs w:val="30"/>
        </w:rPr>
        <w:t> 第一章财务管理导论</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识记：（1）财务管理的产生（一般）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（2）财务管理的发展（一般）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理解：（1）财务管理的概念（重点）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第二章财务管理的目标</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识记：（1）财务管理体制（一般）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（2）财务管理组织（一般）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理解：（1）财务管理职能（次重点）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（2）财务管理目标（重点）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（3）财务管理总目标代表性观点（重点）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（4）利益相关者的矛盾与协调（重点）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第三章财务管理原则</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理解：（1）财务管理假设（重点）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（2）财务管理原则（重点）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第四章财务管理环境</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识记：（1）财务管理环境描述（一般）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理解：（1）财务管理宏观环境（次重点）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（2）财务管理微观环境（次重点）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第五章 货币的时间价值</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理解：（1）货币时间价值概述（重点）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（2）终值的概念（重点）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（3）现值的概念（重点）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（4）年金的概念和种类（重点）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应用：（1）复利终值的计算（重点）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（2）复利现值的计算（重点）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（3）普通年金和先付年金终值与现值的计算（重点）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（4）货币时间价值计算中的特殊问题（次重点）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第六章货币时间价值的拓展</w:t>
      </w:r>
      <w:r>
        <w:rPr>
          <w:rFonts w:hint="eastAsia" w:ascii="仿宋" w:hAnsi="仿宋" w:eastAsia="仿宋" w:cs="仿宋"/>
          <w:sz w:val="30"/>
          <w:szCs w:val="30"/>
        </w:rPr>
        <w:br w:type="textWrapping"/>
      </w:r>
      <w:r>
        <w:rPr>
          <w:rFonts w:hint="eastAsia" w:ascii="仿宋" w:hAnsi="仿宋" w:eastAsia="仿宋" w:cs="仿宋"/>
          <w:sz w:val="30"/>
          <w:szCs w:val="30"/>
        </w:rPr>
        <w:t>理解：（1）资金成本（一般）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（2）证券价值评估（一般）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第七章风险与报酬</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识记：（1）风险报酬的概念（重点）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（2）风险的分类（重点）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理解：（1）投资组合风险程度衡量（重点）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（2）资产定价模型（次重点）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第八章企业筹资管理</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识记：（1）企业筹资含义与种类（重点）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理解：（1）股权性筹资的定义与种类（重点）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（2）股权性筹资的优点与缺点（重点）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（3）债务性筹资的定义与种类（重点）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（4）债务性筹资的优点与缺点（重点）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（5）资本结构（一般）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第九章企业投资管理</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识记：（1）企业投资含义与分类（重点）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（2）投资的意义与目的（一般）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（3）投资管理内容（一般）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（4）项目投资含义与种类（一般）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理解：（1）企业投资的决策依据（重点）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（2）项目决策评价指标（重点）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应用：（1）项目投资的现金流量分析（次重点）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第十章资金营运与分配管理</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识记：（1）营运资金含义（一般）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（2）营运资金特征（一般）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（3）流动资产概念与构成（一般）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（4）流动负债概念与构成（一般）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（5）资金分配管理含义（一般）</w:t>
      </w:r>
    </w:p>
    <w:p>
      <w:pPr>
        <w:spacing w:line="400" w:lineRule="exact"/>
        <w:ind w:firstLine="900" w:firstLineChars="300"/>
        <w:rPr>
          <w:rFonts w:hint="eastAsia" w:ascii="仿宋" w:hAnsi="仿宋" w:eastAsia="仿宋" w:cs="仿宋"/>
          <w:sz w:val="30"/>
          <w:szCs w:val="30"/>
        </w:rPr>
      </w:pP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理解：（1）营运资金投资模式（一般）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（2）营运资金筹资模式（一般）</w:t>
      </w:r>
    </w:p>
    <w:p>
      <w:pPr>
        <w:spacing w:line="0" w:lineRule="atLeast"/>
        <w:jc w:val="left"/>
        <w:rPr>
          <w:rFonts w:hint="eastAsia" w:ascii="黑体" w:hAnsi="黑体" w:eastAsia="黑体" w:cs="黑体"/>
          <w:sz w:val="32"/>
          <w:szCs w:val="32"/>
        </w:rPr>
      </w:pPr>
    </w:p>
    <w:p>
      <w:pPr>
        <w:spacing w:line="0" w:lineRule="atLeast"/>
        <w:ind w:firstLine="600" w:firstLineChars="200"/>
        <w:jc w:val="left"/>
        <w:rPr>
          <w:rFonts w:hint="eastAsia" w:ascii="黑体" w:hAnsi="黑体" w:eastAsia="黑体" w:cs="黑体"/>
          <w:sz w:val="30"/>
          <w:szCs w:val="30"/>
        </w:rPr>
      </w:pPr>
      <w:r>
        <w:rPr>
          <w:rFonts w:hint="eastAsia" w:ascii="黑体" w:hAnsi="黑体" w:eastAsia="黑体" w:cs="黑体"/>
          <w:sz w:val="30"/>
          <w:szCs w:val="30"/>
        </w:rPr>
        <w:t>四、考试教材与参考书</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1．教材：</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杨尚军主编.《初级财务管理》（第一版）.中国财政经济出版社.2018年第一版</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2．参考书：</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（1）王飞等.《现代财务管理》.河海大学出版社.2016.</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（2）沈洪涛等主编《初级财务管理》.东北财经大学出版社出版（第3版）.2016</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（3）孙茂竹等主编《初级财务管理学》.中国人民大学出版社出版。2016</w:t>
      </w:r>
    </w:p>
    <w:p>
      <w:pPr>
        <w:spacing w:line="400" w:lineRule="exact"/>
        <w:rPr>
          <w:rFonts w:hint="eastAsia" w:ascii="仿宋" w:hAnsi="仿宋" w:eastAsia="仿宋" w:cs="仿宋"/>
          <w:sz w:val="28"/>
          <w:szCs w:val="28"/>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rPr>
          <w:rFonts w:hint="eastAsia" w:ascii="仿宋" w:hAnsi="仿宋" w:eastAsia="仿宋" w:cs="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0320C19"/>
    <w:rsid w:val="00566276"/>
    <w:rsid w:val="005D5D72"/>
    <w:rsid w:val="006300BB"/>
    <w:rsid w:val="00770510"/>
    <w:rsid w:val="007C29E1"/>
    <w:rsid w:val="0086261D"/>
    <w:rsid w:val="009C096A"/>
    <w:rsid w:val="00BE6A5E"/>
    <w:rsid w:val="00C80107"/>
    <w:rsid w:val="00DC78F1"/>
    <w:rsid w:val="00E67FAF"/>
    <w:rsid w:val="0A0B0691"/>
    <w:rsid w:val="1B666506"/>
    <w:rsid w:val="1FEF447A"/>
    <w:rsid w:val="26065BC0"/>
    <w:rsid w:val="2E62460A"/>
    <w:rsid w:val="3565070D"/>
    <w:rsid w:val="396C4E72"/>
    <w:rsid w:val="3DAC2F94"/>
    <w:rsid w:val="3F124AC9"/>
    <w:rsid w:val="40CE5CD7"/>
    <w:rsid w:val="5BB05578"/>
    <w:rsid w:val="6B796B16"/>
    <w:rsid w:val="724802EB"/>
    <w:rsid w:val="7265370D"/>
    <w:rsid w:val="739179F6"/>
    <w:rsid w:val="784826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autoRedefine/>
    <w:unhideWhenUsed/>
    <w:qFormat/>
    <w:uiPriority w:val="99"/>
    <w:pPr>
      <w:ind w:firstLine="420" w:firstLineChars="200"/>
    </w:pPr>
  </w:style>
  <w:style w:type="character" w:customStyle="1" w:styleId="8">
    <w:name w:val="页脚 Char"/>
    <w:basedOn w:val="6"/>
    <w:link w:val="2"/>
    <w:autoRedefine/>
    <w:qFormat/>
    <w:uiPriority w:val="0"/>
    <w:rPr>
      <w:rFonts w:ascii="Calibri" w:hAnsi="Calibri"/>
      <w:kern w:val="2"/>
      <w:sz w:val="18"/>
      <w:szCs w:val="18"/>
    </w:rPr>
  </w:style>
  <w:style w:type="character" w:customStyle="1" w:styleId="9">
    <w:name w:val="页眉 Char"/>
    <w:basedOn w:val="6"/>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293</Words>
  <Characters>1671</Characters>
  <Lines>13</Lines>
  <Paragraphs>3</Paragraphs>
  <TotalTime>7</TotalTime>
  <ScaleCrop>false</ScaleCrop>
  <LinksUpToDate>false</LinksUpToDate>
  <CharactersWithSpaces>1961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2020-04-15T05:26:00Z</dcterms:created>
  <dc:creator>立秋</dc:creator>
  <cp:lastModifiedBy>三水君</cp:lastModifiedBy>
  <dcterms:modified xsi:type="dcterms:W3CDTF">2024-10-29T00:17:39Z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91B63C652C7147E0AEF9352B5AFDF424_12</vt:lpwstr>
  </property>
</Properties>
</file>