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微软雅黑" w:hAnsi="微软雅黑" w:eastAsia="微软雅黑" w:cs="微软雅黑"/>
          <w:b/>
          <w:i w:val="0"/>
          <w:caps w:val="0"/>
          <w:color w:val="222222"/>
          <w:spacing w:val="0"/>
          <w:kern w:val="0"/>
          <w:sz w:val="24"/>
          <w:szCs w:val="24"/>
          <w:u w:val="none"/>
          <w:shd w:val="clear" w:fill="FFFFFF"/>
          <w:lang w:val="en-US" w:eastAsia="zh-CN" w:bidi="ar"/>
        </w:rPr>
      </w:pPr>
      <w:r>
        <w:rPr>
          <w:rStyle w:val="5"/>
          <w:rFonts w:hint="eastAsia" w:ascii="微软雅黑" w:hAnsi="微软雅黑" w:eastAsia="微软雅黑" w:cs="微软雅黑"/>
          <w:b/>
          <w:i w:val="0"/>
          <w:caps w:val="0"/>
          <w:color w:val="222222"/>
          <w:spacing w:val="0"/>
          <w:kern w:val="0"/>
          <w:sz w:val="24"/>
          <w:szCs w:val="24"/>
          <w:u w:val="none"/>
          <w:shd w:val="clear" w:fill="FFFFFF"/>
          <w:lang w:val="en-US" w:eastAsia="zh-CN" w:bidi="ar"/>
        </w:rPr>
        <w:t>皖江工学院2025</w:t>
      </w:r>
      <w:bookmarkStart w:id="0" w:name="_GoBack"/>
      <w:bookmarkEnd w:id="0"/>
      <w:r>
        <w:rPr>
          <w:rStyle w:val="5"/>
          <w:rFonts w:hint="eastAsia" w:ascii="微软雅黑" w:hAnsi="微软雅黑" w:eastAsia="微软雅黑" w:cs="微软雅黑"/>
          <w:b/>
          <w:i w:val="0"/>
          <w:caps w:val="0"/>
          <w:color w:val="222222"/>
          <w:spacing w:val="0"/>
          <w:kern w:val="0"/>
          <w:sz w:val="24"/>
          <w:szCs w:val="24"/>
          <w:u w:val="none"/>
          <w:shd w:val="clear" w:fill="FFFFFF"/>
          <w:lang w:val="en-US" w:eastAsia="zh-CN" w:bidi="ar"/>
        </w:rPr>
        <w:t>年专升本考试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微软雅黑" w:hAnsi="微软雅黑" w:eastAsia="微软雅黑" w:cs="微软雅黑"/>
          <w:b/>
          <w:i w:val="0"/>
          <w:caps w:val="0"/>
          <w:color w:val="222222"/>
          <w:spacing w:val="0"/>
          <w:kern w:val="0"/>
          <w:sz w:val="24"/>
          <w:szCs w:val="24"/>
          <w:u w:val="none"/>
          <w:shd w:val="clear" w:fill="FFFFFF"/>
          <w:lang w:val="en-US" w:eastAsia="zh-CN" w:bidi="ar"/>
        </w:rPr>
      </w:pPr>
      <w:r>
        <w:rPr>
          <w:rStyle w:val="5"/>
          <w:rFonts w:hint="eastAsia" w:ascii="微软雅黑" w:hAnsi="微软雅黑" w:eastAsia="微软雅黑" w:cs="微软雅黑"/>
          <w:b/>
          <w:i w:val="0"/>
          <w:caps w:val="0"/>
          <w:color w:val="222222"/>
          <w:spacing w:val="0"/>
          <w:kern w:val="0"/>
          <w:sz w:val="24"/>
          <w:szCs w:val="24"/>
          <w:u w:val="none"/>
          <w:shd w:val="clear" w:fill="FFFFFF"/>
          <w:lang w:val="en-US" w:eastAsia="zh-CN" w:bidi="ar"/>
        </w:rPr>
        <w:t>《管理学》考试大纲</w:t>
      </w:r>
    </w:p>
    <w:p>
      <w:pPr>
        <w:spacing w:line="0" w:lineRule="atLeast"/>
        <w:ind w:firstLine="640" w:firstLineChars="200"/>
        <w:jc w:val="left"/>
        <w:rPr>
          <w:rFonts w:hint="eastAsia" w:ascii="方正仿宋_GBK" w:eastAsia="方正仿宋_GBK"/>
          <w:sz w:val="32"/>
          <w:szCs w:val="32"/>
          <w:lang w:eastAsia="zh-CN"/>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一、总纲</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管理学》考试是我校酒店管理专业专升本招生考试专业课考试科目之一，考试对象为报考我校酒店管理专业的考生。为贯彻落实党中央国务院关于做好高校毕业生就业工作有关精神和国务院常务会议提出的扩大普通专升本规模要求，按照教育部部署和要求，根据《安徽省2022年普通高校专升本考试招生工作操作办法》文件精神，特制定本科目考试大纲。大纲制定力求反映本专业招生类型的特点，科学、公平、准确、规范地测评考生对管理学的概念、基本理论和方法的理解，明确基本管理职能，掌握各项职能的相关方法和技术，能够结合相关案例进行分析、研究，具备一定的分析问题和解决问题以及综合知识运用能力。考生可根据本大纲的内容和要求自行学习相关内容和掌握有关知识。考试采用笔试的方式进行（免笔试学生须参加面试），考试时间为120分钟。</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本大纲由皖江工学院</w:t>
      </w:r>
      <w:r>
        <w:rPr>
          <w:rFonts w:hint="eastAsia" w:ascii="仿宋" w:hAnsi="仿宋" w:eastAsia="仿宋" w:cs="仿宋"/>
          <w:i w:val="0"/>
          <w:caps w:val="0"/>
          <w:color w:val="auto"/>
          <w:spacing w:val="0"/>
          <w:kern w:val="2"/>
          <w:sz w:val="28"/>
          <w:szCs w:val="28"/>
          <w:highlight w:val="none"/>
          <w:shd w:val="clear" w:fill="FFFFFF"/>
          <w:lang w:val="en-US" w:eastAsia="zh-CN" w:bidi="ar-SA"/>
        </w:rPr>
        <w:t>管理学院</w:t>
      </w:r>
      <w:r>
        <w:rPr>
          <w:rFonts w:hint="eastAsia" w:ascii="仿宋" w:hAnsi="仿宋" w:eastAsia="仿宋" w:cs="仿宋"/>
          <w:i w:val="0"/>
          <w:caps w:val="0"/>
          <w:color w:val="auto"/>
          <w:spacing w:val="0"/>
          <w:kern w:val="2"/>
          <w:sz w:val="28"/>
          <w:szCs w:val="28"/>
          <w:shd w:val="clear" w:fill="FFFFFF"/>
          <w:lang w:val="en-US" w:eastAsia="zh-CN" w:bidi="ar-SA"/>
        </w:rPr>
        <w:t>负责解释。</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numPr>
          <w:ilvl w:val="0"/>
          <w:numId w:val="1"/>
        </w:numPr>
        <w:spacing w:line="0" w:lineRule="atLeast"/>
        <w:ind w:left="0" w:leftChars="0"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考核目标与要求</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考核考生对管理理论的形成过程、管理理论的基本框架、管理活动的基本职能的掌握，理解管理活动的基本规律，掌握管理活动的基本方法，了解管理学发展的新趋势及面临的挑战；具备一定的额环境分析、组织设计、沟通协调等能力，考察考生分析问题、解决问题及综合知识运用能力。</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要求考生理解管理的基本概念、管理理论和管理职能，熟悉工管理者的角色和技能，掌握管理学的对象和方法，具备分析问题和解决问题的基本能力。</w:t>
      </w:r>
    </w:p>
    <w:p>
      <w:pPr>
        <w:numPr>
          <w:ilvl w:val="0"/>
          <w:numId w:val="0"/>
        </w:num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numPr>
          <w:ilvl w:val="0"/>
          <w:numId w:val="0"/>
        </w:num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三、考试范围与要求</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第1章  管理与管理者    </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（1）相关概念辨析</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（2）管理职能</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（3）管理者类型及角色</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（4）管理者的基本技能。</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重点：管理四大职能、管理者三类角色、管理者三种技能 。</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第2章 管理理论的演进    </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（1）古典管理理论</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（2）行为科学理论</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（3）现代管理理论</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（4）管理思想的新发展</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重点：泰罗科学管理理论；梅奥的人际关系理论；人性假设理论。</w:t>
      </w:r>
    </w:p>
    <w:p>
      <w:pPr>
        <w:numPr>
          <w:ilvl w:val="0"/>
          <w:numId w:val="2"/>
        </w:num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计划工作</w:t>
      </w:r>
      <w:r>
        <w:rPr>
          <w:rFonts w:hint="eastAsia" w:ascii="仿宋" w:hAnsi="仿宋" w:eastAsia="仿宋" w:cs="仿宋"/>
          <w:i w:val="0"/>
          <w:caps w:val="0"/>
          <w:color w:val="auto"/>
          <w:spacing w:val="0"/>
          <w:kern w:val="2"/>
          <w:sz w:val="28"/>
          <w:szCs w:val="28"/>
          <w:shd w:val="clear" w:fill="FFFFFF"/>
          <w:lang w:val="en-US" w:eastAsia="zh-CN" w:bidi="ar-SA"/>
        </w:rPr>
        <w:br w:type="textWrapping"/>
      </w:r>
      <w:r>
        <w:rPr>
          <w:rFonts w:hint="eastAsia" w:ascii="仿宋" w:hAnsi="仿宋" w:eastAsia="仿宋" w:cs="仿宋"/>
          <w:i w:val="0"/>
          <w:caps w:val="0"/>
          <w:color w:val="auto"/>
          <w:spacing w:val="0"/>
          <w:kern w:val="2"/>
          <w:sz w:val="28"/>
          <w:szCs w:val="28"/>
          <w:shd w:val="clear" w:fill="FFFFFF"/>
          <w:lang w:val="en-US" w:eastAsia="zh-CN" w:bidi="ar-SA"/>
        </w:rPr>
        <w:t xml:space="preserve">    （1）计划工作的内涵</w:t>
      </w:r>
    </w:p>
    <w:p>
      <w:pPr>
        <w:numPr>
          <w:ilvl w:val="0"/>
          <w:numId w:val="0"/>
        </w:num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（2）计划的类型与层次体系</w:t>
      </w:r>
    </w:p>
    <w:p>
      <w:pPr>
        <w:numPr>
          <w:ilvl w:val="0"/>
          <w:numId w:val="0"/>
        </w:num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（3）计划工作的程序与组织实施</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重点：滚动计划法和网络计划技术；计划工作的基本程序、目标管理的基本程序。</w:t>
      </w:r>
    </w:p>
    <w:p>
      <w:pPr>
        <w:numPr>
          <w:ilvl w:val="0"/>
          <w:numId w:val="2"/>
        </w:num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决策</w:t>
      </w:r>
      <w:r>
        <w:rPr>
          <w:rFonts w:hint="eastAsia" w:ascii="仿宋" w:hAnsi="仿宋" w:eastAsia="仿宋" w:cs="仿宋"/>
          <w:i w:val="0"/>
          <w:caps w:val="0"/>
          <w:color w:val="auto"/>
          <w:spacing w:val="0"/>
          <w:kern w:val="2"/>
          <w:sz w:val="28"/>
          <w:szCs w:val="28"/>
          <w:shd w:val="clear" w:fill="FFFFFF"/>
          <w:lang w:val="en-US" w:eastAsia="zh-CN" w:bidi="ar-SA"/>
        </w:rPr>
        <w:br w:type="textWrapping"/>
      </w:r>
      <w:r>
        <w:rPr>
          <w:rFonts w:hint="eastAsia" w:ascii="仿宋" w:hAnsi="仿宋" w:eastAsia="仿宋" w:cs="仿宋"/>
          <w:i w:val="0"/>
          <w:caps w:val="0"/>
          <w:color w:val="auto"/>
          <w:spacing w:val="0"/>
          <w:kern w:val="2"/>
          <w:sz w:val="28"/>
          <w:szCs w:val="28"/>
          <w:shd w:val="clear" w:fill="FFFFFF"/>
          <w:lang w:val="en-US" w:eastAsia="zh-CN" w:bidi="ar-SA"/>
        </w:rPr>
        <w:t xml:space="preserve">    （1）决策的内涵</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（2）决策的原则与基本程序</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（3）决策的方法。</w:t>
      </w:r>
    </w:p>
    <w:p>
      <w:pPr>
        <w:numPr>
          <w:ilvl w:val="0"/>
          <w:numId w:val="0"/>
        </w:num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重点：4种不同的决策类型划分；7种定量决策方法和3种定性决策方法。</w:t>
      </w:r>
    </w:p>
    <w:p>
      <w:pPr>
        <w:numPr>
          <w:ilvl w:val="0"/>
          <w:numId w:val="0"/>
        </w:numPr>
        <w:spacing w:line="400" w:lineRule="exact"/>
        <w:ind w:firstLine="280" w:firstLineChars="100"/>
        <w:rPr>
          <w:rFonts w:hint="eastAsia" w:ascii="仿宋" w:hAnsi="仿宋" w:eastAsia="仿宋" w:cs="仿宋"/>
          <w:i w:val="0"/>
          <w:caps w:val="0"/>
          <w:color w:val="auto"/>
          <w:spacing w:val="0"/>
          <w:kern w:val="2"/>
          <w:sz w:val="28"/>
          <w:szCs w:val="28"/>
          <w:shd w:val="clear" w:fill="FFFFFF"/>
          <w:lang w:val="en-US" w:eastAsia="zh-CN" w:bidi="ar-SA"/>
        </w:rPr>
      </w:pP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第5章 战略管理</w:t>
      </w:r>
      <w:r>
        <w:rPr>
          <w:rFonts w:hint="eastAsia" w:ascii="仿宋" w:hAnsi="仿宋" w:eastAsia="仿宋" w:cs="仿宋"/>
          <w:i w:val="0"/>
          <w:caps w:val="0"/>
          <w:color w:val="auto"/>
          <w:spacing w:val="0"/>
          <w:kern w:val="2"/>
          <w:sz w:val="28"/>
          <w:szCs w:val="28"/>
          <w:shd w:val="clear" w:fill="FFFFFF"/>
          <w:lang w:val="en-US" w:eastAsia="zh-CN" w:bidi="ar-SA"/>
        </w:rPr>
        <w:br w:type="textWrapping"/>
      </w:r>
      <w:r>
        <w:rPr>
          <w:rFonts w:hint="eastAsia" w:ascii="仿宋" w:hAnsi="仿宋" w:eastAsia="仿宋" w:cs="仿宋"/>
          <w:i w:val="0"/>
          <w:caps w:val="0"/>
          <w:color w:val="auto"/>
          <w:spacing w:val="0"/>
          <w:kern w:val="2"/>
          <w:sz w:val="28"/>
          <w:szCs w:val="28"/>
          <w:shd w:val="clear" w:fill="FFFFFF"/>
          <w:lang w:val="en-US" w:eastAsia="zh-CN" w:bidi="ar-SA"/>
        </w:rPr>
        <w:t xml:space="preserve">    （1）战略及战略管理的内涵</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（2）战略环境分析</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（3）组织战略的层次及类型。</w:t>
      </w:r>
    </w:p>
    <w:p>
      <w:pPr>
        <w:numPr>
          <w:ilvl w:val="0"/>
          <w:numId w:val="0"/>
        </w:num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重点：SWOT分析法；战略的三大层次类型。 </w:t>
      </w:r>
    </w:p>
    <w:p>
      <w:pPr>
        <w:numPr>
          <w:ilvl w:val="0"/>
          <w:numId w:val="0"/>
        </w:numPr>
        <w:spacing w:line="400" w:lineRule="exact"/>
        <w:rPr>
          <w:rFonts w:hint="eastAsia" w:ascii="仿宋" w:hAnsi="仿宋" w:eastAsia="仿宋" w:cs="仿宋"/>
          <w:i w:val="0"/>
          <w:caps w:val="0"/>
          <w:color w:val="auto"/>
          <w:spacing w:val="0"/>
          <w:kern w:val="2"/>
          <w:sz w:val="28"/>
          <w:szCs w:val="28"/>
          <w:shd w:val="clear" w:fill="FFFFFF"/>
          <w:lang w:val="en-US" w:eastAsia="zh-CN" w:bidi="ar-SA"/>
        </w:rPr>
      </w:pP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第6章  组织结构设计  </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（1）组织工作概述</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（2）组织结构设计的任务与基本原则</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（3）集权、分权和授权</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（4）组织结构的基本类型</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重点：组织工作的基本程序；5种常见组织结构类型。</w:t>
      </w:r>
    </w:p>
    <w:p>
      <w:pPr>
        <w:numPr>
          <w:ilvl w:val="0"/>
          <w:numId w:val="0"/>
        </w:numPr>
        <w:spacing w:line="400" w:lineRule="exact"/>
        <w:ind w:leftChars="0"/>
        <w:rPr>
          <w:rFonts w:hint="eastAsia" w:ascii="仿宋" w:hAnsi="仿宋" w:eastAsia="仿宋" w:cs="仿宋"/>
          <w:i w:val="0"/>
          <w:caps w:val="0"/>
          <w:color w:val="auto"/>
          <w:spacing w:val="0"/>
          <w:kern w:val="2"/>
          <w:sz w:val="28"/>
          <w:szCs w:val="28"/>
          <w:shd w:val="clear" w:fill="FFFFFF"/>
          <w:lang w:val="en-US" w:eastAsia="zh-CN" w:bidi="ar-SA"/>
        </w:rPr>
      </w:pP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第7章  组织变革与组织文化   </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（1）组织变革</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（2）非正式组织</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（3）组织文化。</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重点：正确对待组织变革遇到的阻力、正确对待非正式组织、正确对待组织文化。</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p>
    <w:p>
      <w:pPr>
        <w:numPr>
          <w:ilvl w:val="0"/>
          <w:numId w:val="3"/>
        </w:num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 领导工作  </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（1）领导及领导者</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（2）领导者的素质理论</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（3）领导者的素质理论</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（4）领导权变理论及其应用</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重点：领导工作的3大作用；6个经典领导理论（勒温的领导风格理论、四分图理论、管理方格理论、费德勒模型、领导生命周期理论和途径—目标理论）。</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p>
    <w:p>
      <w:pPr>
        <w:numPr>
          <w:ilvl w:val="0"/>
          <w:numId w:val="3"/>
        </w:numPr>
        <w:spacing w:line="400" w:lineRule="exact"/>
        <w:ind w:left="0"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激励</w:t>
      </w:r>
    </w:p>
    <w:p>
      <w:pPr>
        <w:numPr>
          <w:ilvl w:val="0"/>
          <w:numId w:val="4"/>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激励的基本模式</w:t>
      </w:r>
    </w:p>
    <w:p>
      <w:pPr>
        <w:numPr>
          <w:ilvl w:val="0"/>
          <w:numId w:val="4"/>
        </w:numPr>
        <w:spacing w:line="400" w:lineRule="exact"/>
        <w:ind w:left="0"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经典激励理论及其启示</w:t>
      </w:r>
    </w:p>
    <w:p>
      <w:pPr>
        <w:numPr>
          <w:ilvl w:val="0"/>
          <w:numId w:val="4"/>
        </w:numPr>
        <w:spacing w:line="400" w:lineRule="exact"/>
        <w:ind w:left="0"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激励实务</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重点：激励的基本步骤；六大经典激励理论的内涵及其对管理实践的启示。</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p>
    <w:p>
      <w:pPr>
        <w:numPr>
          <w:ilvl w:val="0"/>
          <w:numId w:val="3"/>
        </w:numPr>
        <w:spacing w:line="400" w:lineRule="exact"/>
        <w:ind w:left="0"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 沟通   </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（1）沟通概述；</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（2）沟通的方向与网络；</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（3）沟通的障碍与克服的方法；</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（4）冲突管理</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重点：沟通的基本过程；四种常见的沟通方式。</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p>
    <w:p>
      <w:pPr>
        <w:numPr>
          <w:ilvl w:val="0"/>
          <w:numId w:val="3"/>
        </w:numPr>
        <w:spacing w:line="400" w:lineRule="exact"/>
        <w:ind w:left="0"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 控制工作 </w:t>
      </w:r>
      <w:r>
        <w:rPr>
          <w:rFonts w:hint="eastAsia" w:ascii="仿宋" w:hAnsi="仿宋" w:eastAsia="仿宋" w:cs="仿宋"/>
          <w:i w:val="0"/>
          <w:caps w:val="0"/>
          <w:color w:val="auto"/>
          <w:spacing w:val="0"/>
          <w:kern w:val="2"/>
          <w:sz w:val="28"/>
          <w:szCs w:val="28"/>
          <w:shd w:val="clear" w:fill="FFFFFF"/>
          <w:lang w:val="en-US" w:eastAsia="zh-CN" w:bidi="ar-SA"/>
        </w:rPr>
        <w:br w:type="textWrapping"/>
      </w:r>
      <w:r>
        <w:rPr>
          <w:rFonts w:hint="eastAsia" w:ascii="仿宋" w:hAnsi="仿宋" w:eastAsia="仿宋" w:cs="仿宋"/>
          <w:i w:val="0"/>
          <w:caps w:val="0"/>
          <w:color w:val="auto"/>
          <w:spacing w:val="0"/>
          <w:kern w:val="2"/>
          <w:sz w:val="28"/>
          <w:szCs w:val="28"/>
          <w:shd w:val="clear" w:fill="FFFFFF"/>
          <w:lang w:val="en-US" w:eastAsia="zh-CN" w:bidi="ar-SA"/>
        </w:rPr>
        <w:t xml:space="preserve">   （1）控制与控制的基本类型</w:t>
      </w:r>
    </w:p>
    <w:p>
      <w:pPr>
        <w:numPr>
          <w:ilvl w:val="0"/>
          <w:numId w:val="5"/>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控制的基本过程和基本要求</w:t>
      </w:r>
    </w:p>
    <w:p>
      <w:pPr>
        <w:numPr>
          <w:ilvl w:val="0"/>
          <w:numId w:val="5"/>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控制的重点对象和方法。</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重点：常见的三种控制类型；控制的基本过程。</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p>
    <w:p>
      <w:pPr>
        <w:numPr>
          <w:ilvl w:val="0"/>
          <w:numId w:val="3"/>
        </w:numPr>
        <w:spacing w:line="400" w:lineRule="exact"/>
        <w:ind w:left="0"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 管理伦理与社会责任 </w:t>
      </w:r>
      <w:r>
        <w:rPr>
          <w:rFonts w:hint="eastAsia" w:ascii="仿宋" w:hAnsi="仿宋" w:eastAsia="仿宋" w:cs="仿宋"/>
          <w:i w:val="0"/>
          <w:caps w:val="0"/>
          <w:color w:val="auto"/>
          <w:spacing w:val="0"/>
          <w:kern w:val="2"/>
          <w:sz w:val="28"/>
          <w:szCs w:val="28"/>
          <w:shd w:val="clear" w:fill="FFFFFF"/>
          <w:lang w:val="en-US" w:eastAsia="zh-CN" w:bidi="ar-SA"/>
        </w:rPr>
        <w:br w:type="textWrapping"/>
      </w:r>
      <w:r>
        <w:rPr>
          <w:rFonts w:hint="eastAsia" w:ascii="仿宋" w:hAnsi="仿宋" w:eastAsia="仿宋" w:cs="仿宋"/>
          <w:i w:val="0"/>
          <w:caps w:val="0"/>
          <w:color w:val="auto"/>
          <w:spacing w:val="0"/>
          <w:kern w:val="2"/>
          <w:sz w:val="28"/>
          <w:szCs w:val="28"/>
          <w:shd w:val="clear" w:fill="FFFFFF"/>
          <w:lang w:val="en-US" w:eastAsia="zh-CN" w:bidi="ar-SA"/>
        </w:rPr>
        <w:t xml:space="preserve">   （1）管理与伦理</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（2）企业社会责任概述。</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重点：企业社会责任的7大表现形式；伦理与管理的关系、企业经营业绩与社会责任的联系。</w:t>
      </w:r>
    </w:p>
    <w:p>
      <w:pPr>
        <w:numPr>
          <w:ilvl w:val="0"/>
          <w:numId w:val="0"/>
        </w:numPr>
        <w:spacing w:line="0" w:lineRule="atLeast"/>
        <w:ind w:leftChars="0"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  </w:t>
      </w:r>
    </w:p>
    <w:p>
      <w:pPr>
        <w:numPr>
          <w:ilvl w:val="0"/>
          <w:numId w:val="0"/>
        </w:numPr>
        <w:spacing w:line="0" w:lineRule="atLeast"/>
        <w:ind w:leftChars="0"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四、考试教材与参考书</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1．教材：</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李海峰、张莹主编，《管理学——原理与实务》（第3版），人民邮电出版社，2018年1月</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2．参考书：</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周三多 主编《管理学——原理与方法》(第7版)，复旦大学出版社.2018年6月</w:t>
      </w:r>
    </w:p>
    <w:p>
      <w:pPr>
        <w:spacing w:line="400" w:lineRule="exact"/>
        <w:rPr>
          <w:rFonts w:hint="eastAsia" w:ascii="仿宋" w:hAnsi="仿宋" w:eastAsia="仿宋" w:cs="仿宋"/>
          <w:i w:val="0"/>
          <w:caps w:val="0"/>
          <w:color w:val="auto"/>
          <w:spacing w:val="0"/>
          <w:kern w:val="2"/>
          <w:sz w:val="28"/>
          <w:szCs w:val="28"/>
          <w:shd w:val="clear" w:fill="FFFFFF"/>
          <w:lang w:val="en-US" w:eastAsia="zh-CN" w:bidi="ar-SA"/>
        </w:rPr>
      </w:pPr>
    </w:p>
    <w:p>
      <w:pPr>
        <w:widowControl w:val="0"/>
        <w:numPr>
          <w:ilvl w:val="0"/>
          <w:numId w:val="0"/>
        </w:num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pPr>
        <w:widowControl w:val="0"/>
        <w:numPr>
          <w:ilvl w:val="0"/>
          <w:numId w:val="0"/>
        </w:num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pPr>
        <w:widowControl w:val="0"/>
        <w:numPr>
          <w:ilvl w:val="0"/>
          <w:numId w:val="0"/>
        </w:num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pPr>
        <w:widowControl w:val="0"/>
        <w:numPr>
          <w:ilvl w:val="0"/>
          <w:numId w:val="0"/>
        </w:num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pPr>
        <w:widowControl w:val="0"/>
        <w:numPr>
          <w:ilvl w:val="0"/>
          <w:numId w:val="0"/>
        </w:num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pPr>
        <w:widowControl w:val="0"/>
        <w:numPr>
          <w:ilvl w:val="0"/>
          <w:numId w:val="0"/>
        </w:num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pPr>
        <w:widowControl w:val="0"/>
        <w:numPr>
          <w:ilvl w:val="0"/>
          <w:numId w:val="0"/>
        </w:num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pPr>
        <w:rPr>
          <w:rFonts w:hint="eastAsia" w:ascii="仿宋" w:hAnsi="仿宋" w:eastAsia="仿宋" w:cs="仿宋"/>
          <w:i w:val="0"/>
          <w:caps w:val="0"/>
          <w:color w:val="auto"/>
          <w:spacing w:val="0"/>
          <w:kern w:val="2"/>
          <w:sz w:val="28"/>
          <w:szCs w:val="28"/>
          <w:shd w:val="clear"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FF29E"/>
    <w:multiLevelType w:val="singleLevel"/>
    <w:tmpl w:val="99EFF29E"/>
    <w:lvl w:ilvl="0" w:tentative="0">
      <w:start w:val="2"/>
      <w:numFmt w:val="decimal"/>
      <w:suff w:val="nothing"/>
      <w:lvlText w:val="（%1）"/>
      <w:lvlJc w:val="left"/>
    </w:lvl>
  </w:abstractNum>
  <w:abstractNum w:abstractNumId="1">
    <w:nsid w:val="B8AA3FBE"/>
    <w:multiLevelType w:val="singleLevel"/>
    <w:tmpl w:val="B8AA3FBE"/>
    <w:lvl w:ilvl="0" w:tentative="0">
      <w:start w:val="2"/>
      <w:numFmt w:val="chineseCounting"/>
      <w:suff w:val="nothing"/>
      <w:lvlText w:val="%1、"/>
      <w:lvlJc w:val="left"/>
      <w:rPr>
        <w:rFonts w:hint="eastAsia"/>
      </w:rPr>
    </w:lvl>
  </w:abstractNum>
  <w:abstractNum w:abstractNumId="2">
    <w:nsid w:val="C38ABBA9"/>
    <w:multiLevelType w:val="singleLevel"/>
    <w:tmpl w:val="C38ABBA9"/>
    <w:lvl w:ilvl="0" w:tentative="0">
      <w:start w:val="8"/>
      <w:numFmt w:val="decimal"/>
      <w:suff w:val="space"/>
      <w:lvlText w:val="第%1章"/>
      <w:lvlJc w:val="left"/>
    </w:lvl>
  </w:abstractNum>
  <w:abstractNum w:abstractNumId="3">
    <w:nsid w:val="0B7EDF01"/>
    <w:multiLevelType w:val="singleLevel"/>
    <w:tmpl w:val="0B7EDF01"/>
    <w:lvl w:ilvl="0" w:tentative="0">
      <w:start w:val="1"/>
      <w:numFmt w:val="decimal"/>
      <w:suff w:val="nothing"/>
      <w:lvlText w:val="（%1）"/>
      <w:lvlJc w:val="left"/>
    </w:lvl>
  </w:abstractNum>
  <w:abstractNum w:abstractNumId="4">
    <w:nsid w:val="4C8D8C6D"/>
    <w:multiLevelType w:val="singleLevel"/>
    <w:tmpl w:val="4C8D8C6D"/>
    <w:lvl w:ilvl="0" w:tentative="0">
      <w:start w:val="3"/>
      <w:numFmt w:val="decimal"/>
      <w:suff w:val="space"/>
      <w:lvlText w:val="第%1章"/>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ZDkxMDk0NmJjNzczZTAxMmNmODU1NzQ3YzU0MmQifQ=="/>
  </w:docVars>
  <w:rsids>
    <w:rsidRoot w:val="40CE5CD7"/>
    <w:rsid w:val="055E1D8A"/>
    <w:rsid w:val="0A0B0691"/>
    <w:rsid w:val="0BA55F63"/>
    <w:rsid w:val="0C73637D"/>
    <w:rsid w:val="13926498"/>
    <w:rsid w:val="1FEF447A"/>
    <w:rsid w:val="25AA1B8B"/>
    <w:rsid w:val="2E62460A"/>
    <w:rsid w:val="31EE7BD1"/>
    <w:rsid w:val="32C566F9"/>
    <w:rsid w:val="3565070D"/>
    <w:rsid w:val="362B2A5B"/>
    <w:rsid w:val="3B7B3FE0"/>
    <w:rsid w:val="3F0B64C2"/>
    <w:rsid w:val="40CE5CD7"/>
    <w:rsid w:val="417D0926"/>
    <w:rsid w:val="4D841907"/>
    <w:rsid w:val="527E67A6"/>
    <w:rsid w:val="5BF61600"/>
    <w:rsid w:val="62D65AAC"/>
    <w:rsid w:val="6A824AC6"/>
    <w:rsid w:val="6A9B5818"/>
    <w:rsid w:val="6B796B16"/>
    <w:rsid w:val="6C4A4EB4"/>
    <w:rsid w:val="6D0D752A"/>
    <w:rsid w:val="7017209C"/>
    <w:rsid w:val="7265370D"/>
    <w:rsid w:val="761E2A4D"/>
    <w:rsid w:val="79A47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22"/>
    <w:rPr>
      <w:b/>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2020-04-14T07:53:00Z</dcterms:created>
  <dc:creator>立秋</dc:creator>
  <cp:lastModifiedBy>三水君</cp:lastModifiedBy>
  <dcterms:modified xsi:type="dcterms:W3CDTF">2024-10-29T00:20:36Z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64D27981E5D042488C4F832FB373DAA6_12</vt:lpwstr>
  </property>
</Properties>
</file>