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皖江工学院2025</w:t>
      </w:r>
      <w:bookmarkStart w:id="2" w:name="_GoBack"/>
      <w:bookmarkEnd w:id="2"/>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《旅游学概论》考试大纲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旅游学概论》考试是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根据《安徽省2023年普通高校专升本考试招生工作操作办法》文件精神，特制定本科目考试大纲。大纲制定力求反映本专业招生类型的特点，科学、公平、准确、规范地测评考生考生对旅游学概论中基本概念、基本原理的掌握情况以及运用基础理论解决问题的能力，考查考生分析问题及综合知识运用的能力。考生可根据本大纲的内容和要求自行学习相关内容和掌握有关知识。考试采用笔试的方式进行（免笔试学生须参加面试），考试时间为120分钟。</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w:t>
      </w:r>
      <w:r>
        <w:rPr>
          <w:rFonts w:hint="eastAsia" w:ascii="仿宋" w:hAnsi="仿宋" w:eastAsia="仿宋" w:cs="仿宋"/>
          <w:i w:val="0"/>
          <w:caps w:val="0"/>
          <w:color w:val="auto"/>
          <w:spacing w:val="0"/>
          <w:kern w:val="2"/>
          <w:sz w:val="28"/>
          <w:szCs w:val="28"/>
          <w:highlight w:val="none"/>
          <w:shd w:val="clear" w:fill="FFFFFF"/>
          <w:lang w:val="en-US" w:eastAsia="zh-CN" w:bidi="ar-SA"/>
        </w:rPr>
        <w:t>管理学院</w:t>
      </w:r>
      <w:r>
        <w:rPr>
          <w:rFonts w:hint="eastAsia" w:ascii="仿宋" w:hAnsi="仿宋" w:eastAsia="仿宋" w:cs="仿宋"/>
          <w:i w:val="0"/>
          <w:caps w:val="0"/>
          <w:color w:val="auto"/>
          <w:spacing w:val="0"/>
          <w:kern w:val="2"/>
          <w:sz w:val="28"/>
          <w:szCs w:val="28"/>
          <w:shd w:val="clear" w:fill="FFFFFF"/>
          <w:lang w:val="en-US" w:eastAsia="zh-CN" w:bidi="ar-SA"/>
        </w:rPr>
        <w:t>负责解释。</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二、考核目标与要求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旅游业、旅游活动的特点、旅游行业的构成、旅游活动发展状况的衡量指标和统计方法、旅游资源调查的方法步骤等知识掌握水平，熟悉旅游产品设计以及各类旅游企业的业务范畴、旅游市场细分的基本方法、分析旅游客流特点等，考察考生分析问题、解决问题及综合知识运用能力。</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要求考生理解和掌握旅游学概论中的基本概念、特点、基本理论以及运用基础理论解决旅游业发展过程中存在的问题。</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第1章 旅游活动</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（1）旅游学科发展概况（重点）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（2）世界旅游组织关于旅游活动的定义（次重点）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（3）旅游活动的移动性、异地性与暂居性（重点）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（4）泛旅游活动的意义（一般）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（5）现代旅游的产生和发展过程（次重点）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（6）现代旅游业形成的标志性事件（次重点）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（7）旅游活动的经济、环境和社会文化影响（重点）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第2章 访客与旅游需求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（1）访客、旅游者的定义（重点）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（2）旅游者身份识别的主要视角（次重点）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（3）旅游需求和旅游动机的定义（重点）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（4）旅游者动机类型和影响因素（重点）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（5）行前决策、现场体验、事后评估三个阶段的行为特征（次重点）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第3章 旅游产品与供给</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（1）旅游产品的概念与特征（重点）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（2）旅游产品分类（次重点）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（3）观光益智、休闲度假、商务会展等旅游产品的概念及特征（次重点）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（4）旅游产品供给体系特征（重点）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（5）旅游业的性质与行业体系（一般）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第4章 观光与度假吸引物</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（1）旅游资源的定义与分类（重点）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（2）旅游吸引物的定义和类型（次重点）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（3）观光型吸引物和度假型吸引物的主要类别（重点）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商务·会展与节事活动</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w:t>
      </w:r>
      <w:bookmarkStart w:id="0" w:name="_Hlk51015520"/>
      <w:r>
        <w:rPr>
          <w:rFonts w:hint="eastAsia" w:ascii="仿宋" w:hAnsi="仿宋" w:eastAsia="仿宋" w:cs="仿宋"/>
          <w:i w:val="0"/>
          <w:caps w:val="0"/>
          <w:color w:val="auto"/>
          <w:spacing w:val="0"/>
          <w:kern w:val="2"/>
          <w:sz w:val="28"/>
          <w:szCs w:val="28"/>
          <w:shd w:val="clear" w:fill="FFFFFF"/>
          <w:lang w:val="en-US" w:eastAsia="zh-CN" w:bidi="ar-SA"/>
        </w:rPr>
        <w:t>商务旅游的定义（重点）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（2）会展、节事与旅游业的关系（重点）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（3）会展的概念、特征与分类（次重点）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（4）会展业组织与管理（次重点）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（5）旅游节事的概念、分类和特点（重点）</w:t>
      </w:r>
    </w:p>
    <w:bookmarkEnd w:id="0"/>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第6章 旅游目的地与旅游城市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（1）旅游目的地的定义（重点）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（2）城市型目的地和景区型目的地的特点（重点）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（3）城市的旅游与游憩功能（一般）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（4）旅游城市的类型（次重点）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（5）旅游目的地营销的概念（重点）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（6）目的地营销组织和目的地营销系统（次重点）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第7章 移动性与旅游交通</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（1）人类旅行与移动性的含义（次重点）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（2）旅游移动性的影响因素（一般）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（3）现代大众旅行方式与旅游交通的功能（重点）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（4）旅游交通系统和交通服务（重点）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第8章 旅游中介服务</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（1）旅游中介服务的概念（重点）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（2）旅游产品的分销渠道、旅游经营商和旅游代理商的分工（重点）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（3）团队包价旅游及质量控制（次重点）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（4）商务旅游中介服务（一般）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（5）信息技术对旅游中介服务的影响（次重点）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第9章 旅游接待服务</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（1）旅游接待业的概念和功能（重点）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w:t>
      </w:r>
      <w:bookmarkStart w:id="1" w:name="_Hlk51016190"/>
      <w:r>
        <w:rPr>
          <w:rFonts w:hint="eastAsia" w:ascii="仿宋" w:hAnsi="仿宋" w:eastAsia="仿宋" w:cs="仿宋"/>
          <w:i w:val="0"/>
          <w:caps w:val="0"/>
          <w:color w:val="auto"/>
          <w:spacing w:val="0"/>
          <w:kern w:val="2"/>
          <w:sz w:val="28"/>
          <w:szCs w:val="28"/>
          <w:shd w:val="clear" w:fill="FFFFFF"/>
          <w:lang w:val="en-US" w:eastAsia="zh-CN" w:bidi="ar-SA"/>
        </w:rPr>
        <w:t>酒店的等级划分和评定标准</w:t>
      </w:r>
      <w:bookmarkEnd w:id="1"/>
      <w:r>
        <w:rPr>
          <w:rFonts w:hint="eastAsia" w:ascii="仿宋" w:hAnsi="仿宋" w:eastAsia="仿宋" w:cs="仿宋"/>
          <w:i w:val="0"/>
          <w:caps w:val="0"/>
          <w:color w:val="auto"/>
          <w:spacing w:val="0"/>
          <w:kern w:val="2"/>
          <w:sz w:val="28"/>
          <w:szCs w:val="28"/>
          <w:shd w:val="clear" w:fill="FFFFFF"/>
          <w:lang w:val="en-US" w:eastAsia="zh-CN" w:bidi="ar-SA"/>
        </w:rPr>
        <w:t>（重点）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（3）旅游接待设施与服务分类（一般）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（4）无限服务型、有限服务型酒店的特点（重点）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（5）旅游接待业经营管理的特征和内容（次重点）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第10章 旅游支持行业</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（1）餐饮业、零售业、娱乐业、信息业、金融业、保险业、房地产业装备制造业等行业与旅游业的关系（重点）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（2）旅游餐饮与美食旅游、旅游购物与购物旅游、旅游娱乐与娱乐旅游之间的联系和区别（一般）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（3）旅游信息服务的基本内涵</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第11章 旅游公共管理</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（1）旅游产品的公共性、旅游公共组织与旅游危机管理（次重点）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（2）旅游立法与政府管理、旅游政策的概念和作用（重点）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（3）公共资源管理与旅游发展规划（重点）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（4）旅游公共环境问题和旅游生态保障措施（次重点）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吴必虎,黄潇婷等,编著，《旅游学概论》（第3版），北京:中国人民大学出版社, 2019</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闻芳，杨辉 编 《旅游学概论》第一版，江苏大学出版社，2018年</w:t>
      </w:r>
    </w:p>
    <w:p>
      <w:p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55E1D8A"/>
    <w:rsid w:val="0A0B0691"/>
    <w:rsid w:val="115B4F49"/>
    <w:rsid w:val="134852BD"/>
    <w:rsid w:val="13926498"/>
    <w:rsid w:val="17D808F5"/>
    <w:rsid w:val="1D2206F7"/>
    <w:rsid w:val="1DEA75BE"/>
    <w:rsid w:val="1FEF447A"/>
    <w:rsid w:val="20B424E4"/>
    <w:rsid w:val="25AA1B8B"/>
    <w:rsid w:val="290E626F"/>
    <w:rsid w:val="2CDD74C8"/>
    <w:rsid w:val="2E62460A"/>
    <w:rsid w:val="32C566F9"/>
    <w:rsid w:val="3565070D"/>
    <w:rsid w:val="362B2A5B"/>
    <w:rsid w:val="3B7B3FE0"/>
    <w:rsid w:val="3EC226E5"/>
    <w:rsid w:val="40CE5CD7"/>
    <w:rsid w:val="417D0926"/>
    <w:rsid w:val="456B6028"/>
    <w:rsid w:val="4E0538F2"/>
    <w:rsid w:val="50824DDD"/>
    <w:rsid w:val="5BF61600"/>
    <w:rsid w:val="62AB1AE4"/>
    <w:rsid w:val="68FA491A"/>
    <w:rsid w:val="6AC534B8"/>
    <w:rsid w:val="6B796B16"/>
    <w:rsid w:val="6C617DC7"/>
    <w:rsid w:val="704165E1"/>
    <w:rsid w:val="7265370D"/>
    <w:rsid w:val="78553469"/>
    <w:rsid w:val="7A94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1983</Words>
  <Characters>1999</Characters>
  <Lines>0</Lines>
  <Paragraphs>0</Paragraphs>
  <TotalTime>4</TotalTime>
  <ScaleCrop>false</ScaleCrop>
  <LinksUpToDate>false</LinksUpToDate>
  <CharactersWithSpaces>2013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8B9A49801603432ABE141B19249731FA</vt:lpwstr>
  </property>
</Properties>
</file>