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AF7DD">
      <w:pPr>
        <w:spacing w:line="360" w:lineRule="auto"/>
        <w:ind w:left="-2" w:leftChars="0" w:firstLine="0" w:firstLineChars="0"/>
        <w:jc w:val="center"/>
        <w:rPr>
          <w:b/>
          <w:sz w:val="36"/>
          <w:szCs w:val="36"/>
        </w:rPr>
      </w:pPr>
      <w:r>
        <w:rPr>
          <w:rFonts w:hint="eastAsia"/>
          <w:b/>
          <w:sz w:val="36"/>
          <w:szCs w:val="36"/>
        </w:rPr>
        <w:t>皖江工学院20</w:t>
      </w:r>
      <w:r>
        <w:rPr>
          <w:b/>
          <w:sz w:val="36"/>
          <w:szCs w:val="36"/>
        </w:rPr>
        <w:t>2</w:t>
      </w:r>
      <w:r>
        <w:rPr>
          <w:rFonts w:hint="eastAsia"/>
          <w:b/>
          <w:sz w:val="36"/>
          <w:szCs w:val="36"/>
          <w:lang w:val="en-US" w:eastAsia="zh-CN"/>
        </w:rPr>
        <w:t>6</w:t>
      </w:r>
      <w:r>
        <w:rPr>
          <w:rFonts w:hint="eastAsia"/>
          <w:b/>
          <w:sz w:val="36"/>
          <w:szCs w:val="36"/>
        </w:rPr>
        <w:t>年专升本考试</w:t>
      </w:r>
    </w:p>
    <w:p w14:paraId="3A70BD8C">
      <w:pPr>
        <w:spacing w:line="360" w:lineRule="auto"/>
        <w:ind w:left="-2" w:leftChars="0" w:firstLine="0" w:firstLineChars="0"/>
        <w:jc w:val="center"/>
        <w:rPr>
          <w:rFonts w:ascii="方正仿宋_GBK" w:eastAsia="方正仿宋_GBK"/>
          <w:sz w:val="36"/>
          <w:szCs w:val="36"/>
        </w:rPr>
      </w:pPr>
      <w:r>
        <w:rPr>
          <w:rFonts w:hint="eastAsia"/>
          <w:b/>
          <w:sz w:val="36"/>
          <w:szCs w:val="36"/>
        </w:rPr>
        <w:t>《数据库技术与应用》考试大纲</w:t>
      </w:r>
    </w:p>
    <w:p w14:paraId="33CC86FD">
      <w:pPr>
        <w:spacing w:line="360" w:lineRule="auto"/>
        <w:ind w:firstLine="560" w:firstLineChars="200"/>
        <w:jc w:val="left"/>
        <w:rPr>
          <w:rFonts w:ascii="方正仿宋_GBK" w:eastAsia="方正仿宋_GBK"/>
          <w:sz w:val="28"/>
          <w:szCs w:val="28"/>
        </w:rPr>
      </w:pPr>
    </w:p>
    <w:p w14:paraId="41CC60F5">
      <w:p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一、总纲</w:t>
      </w:r>
    </w:p>
    <w:p w14:paraId="30544AC1">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1ACE997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数据库技术与应用》考试是我校计算机科学与技术专业专升本招生考试专业课考试科目之一，考试对象为报考我校计算机科学与技术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的数据库基础知识掌握水平，考生分析问题和解决问题及综合知识运用能力。考生可根据本大纲的内容和要求自行学习相关内容和掌握有关知识。考试采用笔试的方式进行（免笔试学生须参加面试），考试时长为120分钟。</w:t>
      </w:r>
    </w:p>
    <w:p w14:paraId="226F3BC7">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本大纲由皖江工学院</w:t>
      </w:r>
      <w:r>
        <w:rPr>
          <w:rFonts w:hint="eastAsia" w:ascii="仿宋" w:hAnsi="仿宋" w:eastAsia="仿宋" w:cs="仿宋"/>
          <w:kern w:val="2"/>
          <w:sz w:val="28"/>
          <w:szCs w:val="28"/>
          <w:lang w:val="en-US" w:eastAsia="zh-CN" w:bidi="ar-SA"/>
        </w:rPr>
        <w:t>电气与信息工程学院</w:t>
      </w:r>
      <w:r>
        <w:rPr>
          <w:rFonts w:hint="eastAsia" w:ascii="仿宋" w:hAnsi="仿宋" w:eastAsia="仿宋" w:cs="仿宋"/>
          <w:sz w:val="28"/>
          <w:szCs w:val="28"/>
        </w:rPr>
        <w:t>负责解释。</w:t>
      </w:r>
    </w:p>
    <w:p w14:paraId="0266EB8D">
      <w:pPr>
        <w:numPr>
          <w:ilvl w:val="0"/>
          <w:numId w:val="1"/>
        </w:numPr>
        <w:spacing w:line="360" w:lineRule="auto"/>
        <w:ind w:firstLine="560" w:firstLineChars="200"/>
        <w:jc w:val="left"/>
        <w:rPr>
          <w:rFonts w:ascii="黑体" w:hAnsi="黑体" w:eastAsia="黑体" w:cs="黑体"/>
          <w:sz w:val="28"/>
          <w:szCs w:val="28"/>
        </w:rPr>
      </w:pPr>
      <w:r>
        <w:rPr>
          <w:rFonts w:hint="eastAsia" w:ascii="黑体" w:hAnsi="黑体" w:eastAsia="黑体" w:cs="黑体"/>
          <w:sz w:val="28"/>
          <w:szCs w:val="28"/>
        </w:rPr>
        <w:t>考核目标与要求</w:t>
      </w:r>
      <w:bookmarkStart w:id="0" w:name="_GoBack"/>
      <w:bookmarkEnd w:id="0"/>
    </w:p>
    <w:p w14:paraId="64B66303">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要求考生理解数据库的基本概念和基本理论知识，掌握数据库中SQL语句的阅读和书写。要求考生具有一定抽象思维能力，以及运用所学数据库知识来分析和解决问题的能力。</w:t>
      </w:r>
    </w:p>
    <w:p w14:paraId="7660B8C6">
      <w:pPr>
        <w:spacing w:line="360" w:lineRule="auto"/>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三、考试范围与要求</w:t>
      </w:r>
    </w:p>
    <w:p w14:paraId="03CE66C2">
      <w:pPr>
        <w:spacing w:line="360" w:lineRule="auto"/>
        <w:ind w:firstLine="560" w:firstLineChars="200"/>
        <w:jc w:val="left"/>
        <w:rPr>
          <w:rFonts w:ascii="仿宋" w:hAnsi="仿宋" w:eastAsia="仿宋" w:cs="仿宋"/>
          <w:sz w:val="28"/>
          <w:szCs w:val="28"/>
        </w:rPr>
      </w:pPr>
      <w:r>
        <w:rPr>
          <w:rFonts w:hint="eastAsia" w:ascii="黑体" w:hAnsi="黑体" w:eastAsia="黑体" w:cs="黑体"/>
          <w:sz w:val="28"/>
          <w:szCs w:val="28"/>
        </w:rPr>
        <w:t>第1章 绪论</w:t>
      </w:r>
    </w:p>
    <w:p w14:paraId="5A56881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(1)数据库系统概论(一般)</w:t>
      </w:r>
    </w:p>
    <w:p w14:paraId="01FE9D4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(2)数据模型(重点)</w:t>
      </w:r>
    </w:p>
    <w:p w14:paraId="7457F14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(3)数据库系统的结构(次重点)</w:t>
      </w:r>
    </w:p>
    <w:p w14:paraId="0C4C5C9C">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第2章 关系数据库</w:t>
      </w:r>
    </w:p>
    <w:p w14:paraId="285FF9E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(1)关系数据结构及形式化定义(一般)</w:t>
      </w:r>
    </w:p>
    <w:p w14:paraId="4B4D831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(2)关系的完整性(重点)</w:t>
      </w:r>
    </w:p>
    <w:p w14:paraId="5260743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(3)关系代数(重点)</w:t>
      </w:r>
    </w:p>
    <w:p w14:paraId="2386DE2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第3章 关系数据库标准语言SQL</w:t>
      </w:r>
    </w:p>
    <w:p w14:paraId="3E6D1CAE">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(1)数据定义（重点）</w:t>
      </w:r>
    </w:p>
    <w:p w14:paraId="06E0075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(2)数据查询（重点）</w:t>
      </w:r>
    </w:p>
    <w:p w14:paraId="489FDD6E">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(3)数据更新（重点）</w:t>
      </w:r>
    </w:p>
    <w:p w14:paraId="7809D0E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(4)空值的处理（重点）</w:t>
      </w:r>
    </w:p>
    <w:p w14:paraId="4E4D3FE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(5)视图（次重点）</w:t>
      </w:r>
    </w:p>
    <w:p w14:paraId="6F0CB00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第4章 数据库安全性</w:t>
      </w:r>
    </w:p>
    <w:p w14:paraId="77D7A9C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(1)数据库安全性控制（次重点）</w:t>
      </w:r>
    </w:p>
    <w:p w14:paraId="5AB295C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(2)数据加密（一般）</w:t>
      </w:r>
    </w:p>
    <w:p w14:paraId="6FF99F5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第5章 数据库完整性</w:t>
      </w:r>
    </w:p>
    <w:p w14:paraId="01D4AD2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(1)实体完整性(重点)</w:t>
      </w:r>
    </w:p>
    <w:p w14:paraId="2C446F5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(2)参照实整性（重点）</w:t>
      </w:r>
    </w:p>
    <w:p w14:paraId="4642F34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(3)用户定义的完整性（重点）</w:t>
      </w:r>
    </w:p>
    <w:p w14:paraId="5EFC94F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第6章 关系数据库理论</w:t>
      </w:r>
    </w:p>
    <w:p w14:paraId="0EF414A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(1)问题的提出（一般）</w:t>
      </w:r>
    </w:p>
    <w:p w14:paraId="3C3D869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(2)规范化（一般）</w:t>
      </w:r>
    </w:p>
    <w:p w14:paraId="0A99B5C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第7章 数据库设计</w:t>
      </w:r>
    </w:p>
    <w:p w14:paraId="02D0C7A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(1)数据库设计概述（次重点）</w:t>
      </w:r>
    </w:p>
    <w:p w14:paraId="000D25A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(2)需求分析(重点)</w:t>
      </w:r>
    </w:p>
    <w:p w14:paraId="236386B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(3)概念结构设计（重点）</w:t>
      </w:r>
    </w:p>
    <w:p w14:paraId="49090F26">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(4)逻辑结构设计（重点）</w:t>
      </w:r>
    </w:p>
    <w:p w14:paraId="5FF1031D">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(5)物理结构设计（重点）</w:t>
      </w:r>
    </w:p>
    <w:p w14:paraId="01A71487">
      <w:pPr>
        <w:spacing w:line="360" w:lineRule="auto"/>
        <w:ind w:firstLine="555"/>
        <w:jc w:val="left"/>
        <w:rPr>
          <w:rFonts w:hint="eastAsia" w:ascii="仿宋" w:hAnsi="仿宋" w:eastAsia="仿宋" w:cs="仿宋"/>
          <w:sz w:val="28"/>
          <w:szCs w:val="28"/>
        </w:rPr>
      </w:pPr>
      <w:r>
        <w:rPr>
          <w:rFonts w:hint="eastAsia" w:ascii="仿宋" w:hAnsi="仿宋" w:eastAsia="仿宋" w:cs="仿宋"/>
          <w:sz w:val="28"/>
          <w:szCs w:val="28"/>
        </w:rPr>
        <w:t>(6)数据库的实施和维护（次重点）</w:t>
      </w:r>
    </w:p>
    <w:p w14:paraId="2589A0F3">
      <w:pPr>
        <w:spacing w:line="360" w:lineRule="auto"/>
        <w:ind w:firstLine="420" w:firstLineChars="150"/>
        <w:jc w:val="left"/>
        <w:rPr>
          <w:rFonts w:ascii="黑体" w:hAnsi="黑体" w:eastAsia="黑体" w:cs="黑体"/>
          <w:sz w:val="28"/>
          <w:szCs w:val="28"/>
        </w:rPr>
      </w:pPr>
      <w:r>
        <w:rPr>
          <w:rFonts w:hint="eastAsia" w:ascii="黑体" w:hAnsi="黑体" w:eastAsia="黑体" w:cs="黑体"/>
          <w:sz w:val="28"/>
          <w:szCs w:val="28"/>
        </w:rPr>
        <w:t>四、考试教材与参考书</w:t>
      </w:r>
    </w:p>
    <w:p w14:paraId="42047A8B">
      <w:pPr>
        <w:spacing w:line="360" w:lineRule="auto"/>
        <w:ind w:left="180" w:firstLine="420"/>
        <w:rPr>
          <w:rFonts w:ascii="仿宋" w:hAnsi="仿宋" w:eastAsia="仿宋" w:cs="仿宋"/>
          <w:sz w:val="28"/>
          <w:szCs w:val="28"/>
        </w:rPr>
      </w:pPr>
      <w:r>
        <w:rPr>
          <w:rFonts w:hint="eastAsia" w:ascii="仿宋" w:hAnsi="仿宋" w:eastAsia="仿宋" w:cs="仿宋"/>
          <w:sz w:val="28"/>
          <w:szCs w:val="28"/>
        </w:rPr>
        <w:t>1．教材：</w:t>
      </w:r>
    </w:p>
    <w:p w14:paraId="6BEE8483">
      <w:pPr>
        <w:spacing w:line="360" w:lineRule="auto"/>
        <w:ind w:left="180" w:firstLine="420"/>
        <w:rPr>
          <w:rFonts w:ascii="仿宋" w:hAnsi="仿宋" w:eastAsia="仿宋" w:cs="仿宋"/>
          <w:sz w:val="28"/>
          <w:szCs w:val="28"/>
        </w:rPr>
      </w:pPr>
      <w:r>
        <w:rPr>
          <w:rFonts w:hint="eastAsia" w:ascii="仿宋" w:hAnsi="仿宋" w:eastAsia="仿宋" w:cs="仿宋"/>
          <w:sz w:val="28"/>
          <w:szCs w:val="28"/>
        </w:rPr>
        <w:t>王珊、萨师煊.《数据库系统概论(第5版)》.</w:t>
      </w:r>
      <w:r>
        <w:rPr>
          <w:rFonts w:hint="eastAsia"/>
          <w:sz w:val="28"/>
          <w:szCs w:val="28"/>
        </w:rPr>
        <w:t xml:space="preserve"> </w:t>
      </w:r>
      <w:r>
        <w:rPr>
          <w:rFonts w:hint="eastAsia" w:ascii="仿宋" w:hAnsi="仿宋" w:eastAsia="仿宋" w:cs="仿宋"/>
          <w:sz w:val="28"/>
          <w:szCs w:val="28"/>
        </w:rPr>
        <w:t>高等教育出版社. 2014年9月</w:t>
      </w:r>
    </w:p>
    <w:p w14:paraId="16042688">
      <w:pPr>
        <w:spacing w:line="360" w:lineRule="auto"/>
        <w:ind w:left="180" w:firstLine="420"/>
        <w:rPr>
          <w:rFonts w:ascii="仿宋" w:hAnsi="仿宋" w:eastAsia="仿宋" w:cs="仿宋"/>
          <w:sz w:val="28"/>
          <w:szCs w:val="28"/>
        </w:rPr>
      </w:pPr>
      <w:r>
        <w:rPr>
          <w:rFonts w:hint="eastAsia" w:ascii="仿宋" w:hAnsi="仿宋" w:eastAsia="仿宋" w:cs="仿宋"/>
          <w:sz w:val="28"/>
          <w:szCs w:val="28"/>
        </w:rPr>
        <w:t>2．参考书：</w:t>
      </w:r>
    </w:p>
    <w:p w14:paraId="1782EB57">
      <w:pPr>
        <w:spacing w:line="360" w:lineRule="auto"/>
        <w:ind w:left="180" w:firstLine="420"/>
        <w:rPr>
          <w:rFonts w:ascii="仿宋" w:hAnsi="仿宋" w:eastAsia="仿宋" w:cs="仿宋"/>
          <w:sz w:val="28"/>
          <w:szCs w:val="28"/>
        </w:rPr>
      </w:pPr>
      <w:r>
        <w:rPr>
          <w:rFonts w:hint="eastAsia" w:ascii="仿宋" w:hAnsi="仿宋" w:eastAsia="仿宋" w:cs="仿宋"/>
          <w:sz w:val="28"/>
          <w:szCs w:val="28"/>
        </w:rPr>
        <w:t>王珊、张俊.</w:t>
      </w:r>
      <w:r>
        <w:rPr>
          <w:rFonts w:hint="eastAsia"/>
          <w:sz w:val="28"/>
          <w:szCs w:val="28"/>
        </w:rPr>
        <w:t>《</w:t>
      </w:r>
      <w:r>
        <w:rPr>
          <w:rFonts w:hint="eastAsia" w:ascii="仿宋" w:hAnsi="仿宋" w:eastAsia="仿宋" w:cs="仿宋"/>
          <w:sz w:val="28"/>
          <w:szCs w:val="28"/>
        </w:rPr>
        <w:t>数据库系统概论(第5版)习题解析与实验指导》.</w:t>
      </w:r>
      <w:r>
        <w:rPr>
          <w:rFonts w:hint="eastAsia"/>
        </w:rPr>
        <w:t xml:space="preserve"> </w:t>
      </w:r>
      <w:r>
        <w:rPr>
          <w:rFonts w:hint="eastAsia" w:ascii="仿宋" w:hAnsi="仿宋" w:eastAsia="仿宋" w:cs="仿宋"/>
          <w:sz w:val="28"/>
          <w:szCs w:val="28"/>
        </w:rPr>
        <w:t>高等教育出版社. 2015年7月</w:t>
      </w:r>
    </w:p>
    <w:p w14:paraId="791D648E">
      <w:pPr>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五、其他补充说明</w:t>
      </w:r>
    </w:p>
    <w:p w14:paraId="1DC3939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答卷方式：闭卷，笔试。</w:t>
      </w:r>
    </w:p>
    <w:p w14:paraId="3236E68A">
      <w:pPr>
        <w:spacing w:line="360" w:lineRule="auto"/>
        <w:ind w:firstLine="420"/>
        <w:rPr>
          <w:sz w:val="28"/>
          <w:szCs w:val="28"/>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031CF4"/>
    <w:rsid w:val="0004044A"/>
    <w:rsid w:val="001B11E1"/>
    <w:rsid w:val="00305269"/>
    <w:rsid w:val="003A551A"/>
    <w:rsid w:val="003C0999"/>
    <w:rsid w:val="00453941"/>
    <w:rsid w:val="0048287F"/>
    <w:rsid w:val="004872C4"/>
    <w:rsid w:val="00503071"/>
    <w:rsid w:val="00531B7B"/>
    <w:rsid w:val="005560DE"/>
    <w:rsid w:val="00577B66"/>
    <w:rsid w:val="005E33EB"/>
    <w:rsid w:val="00621880"/>
    <w:rsid w:val="006D2B71"/>
    <w:rsid w:val="006F0B86"/>
    <w:rsid w:val="006F58A6"/>
    <w:rsid w:val="00733260"/>
    <w:rsid w:val="0077667B"/>
    <w:rsid w:val="007B17A1"/>
    <w:rsid w:val="00840852"/>
    <w:rsid w:val="00893A11"/>
    <w:rsid w:val="00A1550A"/>
    <w:rsid w:val="00A43DBF"/>
    <w:rsid w:val="00AA00D7"/>
    <w:rsid w:val="00AF768F"/>
    <w:rsid w:val="00B341FD"/>
    <w:rsid w:val="00BB0910"/>
    <w:rsid w:val="00BC3E77"/>
    <w:rsid w:val="00C32049"/>
    <w:rsid w:val="00C4799C"/>
    <w:rsid w:val="00C61C97"/>
    <w:rsid w:val="00C924EC"/>
    <w:rsid w:val="00CB3C2C"/>
    <w:rsid w:val="00CC076D"/>
    <w:rsid w:val="00D54979"/>
    <w:rsid w:val="00D73541"/>
    <w:rsid w:val="00E45F6C"/>
    <w:rsid w:val="00E465D9"/>
    <w:rsid w:val="00E71578"/>
    <w:rsid w:val="00E96918"/>
    <w:rsid w:val="00EE393E"/>
    <w:rsid w:val="00EF620C"/>
    <w:rsid w:val="00F252DF"/>
    <w:rsid w:val="00F979E6"/>
    <w:rsid w:val="0A0B0691"/>
    <w:rsid w:val="160923CB"/>
    <w:rsid w:val="1FEF447A"/>
    <w:rsid w:val="24B269E6"/>
    <w:rsid w:val="2E62460A"/>
    <w:rsid w:val="3565070D"/>
    <w:rsid w:val="3A487278"/>
    <w:rsid w:val="40CE5CD7"/>
    <w:rsid w:val="439737B0"/>
    <w:rsid w:val="44037B91"/>
    <w:rsid w:val="6B796B16"/>
    <w:rsid w:val="7265370D"/>
    <w:rsid w:val="72707409"/>
    <w:rsid w:val="752D6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wtianwei</Company>
  <Pages>3</Pages>
  <Words>1015</Words>
  <Characters>1081</Characters>
  <Lines>8</Lines>
  <Paragraphs>2</Paragraphs>
  <TotalTime>0</TotalTime>
  <ScaleCrop>false</ScaleCrop>
  <LinksUpToDate>false</LinksUpToDate>
  <CharactersWithSpaces>1092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2021-03-06T09:32:00Z</dcterms:created>
  <dc:creator>立秋</dc:creator>
  <cp:lastModifiedBy>玖月</cp:lastModifiedBy>
  <dcterms:modified xsi:type="dcterms:W3CDTF">2026-01-14T02:20:01Z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7DE266E2449C4B68A50CFC91E6D7D857_12</vt:lpwstr>
  </property>
</Properties>
</file>