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682DE">
      <w:pPr>
        <w:spacing w:line="560" w:lineRule="exact"/>
        <w:ind w:firstLine="1606" w:firstLineChars="400"/>
        <w:rPr>
          <w:rFonts w:hint="eastAsia" w:ascii="宋体" w:hAnsi="宋体" w:eastAsia="宋体" w:cs="宋体"/>
          <w:b/>
          <w:sz w:val="40"/>
        </w:rPr>
      </w:pPr>
      <w:r>
        <w:rPr>
          <w:rFonts w:hint="eastAsia" w:ascii="宋体" w:hAnsi="宋体" w:eastAsia="宋体" w:cs="宋体"/>
          <w:b/>
          <w:sz w:val="40"/>
        </w:rPr>
        <w:t>皖江工学院202</w:t>
      </w:r>
      <w:r>
        <w:rPr>
          <w:rFonts w:hint="eastAsia" w:ascii="宋体" w:hAnsi="宋体" w:cs="宋体"/>
          <w:b/>
          <w:sz w:val="40"/>
          <w:lang w:val="en-US" w:eastAsia="zh-CN"/>
        </w:rPr>
        <w:t>6</w:t>
      </w:r>
      <w:r>
        <w:rPr>
          <w:rFonts w:hint="eastAsia" w:ascii="宋体" w:hAnsi="宋体" w:eastAsia="宋体" w:cs="宋体"/>
          <w:b/>
          <w:sz w:val="40"/>
        </w:rPr>
        <w:t>年专升本考试</w:t>
      </w:r>
    </w:p>
    <w:p w14:paraId="49ECBABE">
      <w:pPr>
        <w:spacing w:line="560" w:lineRule="exact"/>
        <w:jc w:val="center"/>
        <w:rPr>
          <w:rFonts w:hint="eastAsia" w:ascii="宋体" w:hAnsi="宋体" w:eastAsia="宋体" w:cs="宋体"/>
          <w:sz w:val="32"/>
          <w:szCs w:val="32"/>
        </w:rPr>
      </w:pPr>
      <w:r>
        <w:rPr>
          <w:rFonts w:hint="eastAsia" w:ascii="宋体" w:hAnsi="宋体" w:eastAsia="宋体" w:cs="宋体"/>
          <w:b/>
          <w:sz w:val="40"/>
        </w:rPr>
        <w:t>《财务管理》考试大纲</w:t>
      </w:r>
    </w:p>
    <w:p w14:paraId="705E67ED">
      <w:pPr>
        <w:spacing w:line="0" w:lineRule="atLeast"/>
        <w:ind w:firstLine="640" w:firstLineChars="200"/>
        <w:jc w:val="left"/>
        <w:rPr>
          <w:rFonts w:hint="eastAsia" w:ascii="黑体" w:hAnsi="黑体" w:eastAsia="黑体" w:cs="黑体"/>
          <w:sz w:val="32"/>
          <w:szCs w:val="32"/>
        </w:rPr>
      </w:pPr>
    </w:p>
    <w:p w14:paraId="29EBB7C2">
      <w:p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一、总纲</w:t>
      </w:r>
    </w:p>
    <w:p w14:paraId="1423C884">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419C3D32">
      <w:pPr>
        <w:spacing w:line="0" w:lineRule="atLeast"/>
        <w:ind w:firstLine="640" w:firstLineChars="200"/>
        <w:jc w:val="both"/>
        <w:rPr>
          <w:rFonts w:hint="eastAsia" w:ascii="仿宋" w:hAnsi="仿宋" w:eastAsia="仿宋" w:cs="仿宋"/>
          <w:color w:val="auto"/>
          <w:sz w:val="32"/>
          <w:szCs w:val="32"/>
          <w:u w:val="none"/>
          <w:lang w:eastAsia="zh-CN"/>
        </w:rPr>
      </w:pPr>
      <w:bookmarkStart w:id="0" w:name="_GoBack"/>
      <w:r>
        <w:rPr>
          <w:rFonts w:hint="eastAsia" w:ascii="仿宋" w:hAnsi="仿宋" w:eastAsia="仿宋" w:cs="仿宋"/>
          <w:sz w:val="32"/>
          <w:szCs w:val="32"/>
        </w:rPr>
        <w:t>《财务管理》考试是我校财务管理专业和会计学专业专升本招生考试专业课考试科目之一，考试对象为报考我校财务管理专业和会计学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财务管理的基本原理和方法，企业日常资金运营等财务活动的决策分析的知识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bookmarkEnd w:id="0"/>
    <w:p w14:paraId="13638144">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val="en-US" w:eastAsia="zh-CN"/>
        </w:rPr>
        <w:t>财经</w:t>
      </w:r>
      <w:r>
        <w:rPr>
          <w:rFonts w:hint="eastAsia" w:ascii="仿宋" w:hAnsi="仿宋" w:eastAsia="仿宋" w:cs="仿宋"/>
          <w:sz w:val="32"/>
          <w:szCs w:val="32"/>
        </w:rPr>
        <w:t>学院负责解释。</w:t>
      </w:r>
    </w:p>
    <w:p w14:paraId="4D22066E">
      <w:pPr>
        <w:spacing w:line="0" w:lineRule="atLeast"/>
        <w:ind w:firstLine="640" w:firstLineChars="200"/>
        <w:jc w:val="left"/>
        <w:rPr>
          <w:rFonts w:hint="eastAsia" w:ascii="仿宋" w:hAnsi="仿宋" w:eastAsia="仿宋" w:cs="仿宋"/>
          <w:sz w:val="32"/>
          <w:szCs w:val="32"/>
        </w:rPr>
      </w:pPr>
    </w:p>
    <w:p w14:paraId="2B9D0733">
      <w:pPr>
        <w:numPr>
          <w:ilvl w:val="0"/>
          <w:numId w:val="1"/>
        </w:num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14:paraId="73D618CA">
      <w:pPr>
        <w:pStyle w:val="7"/>
        <w:spacing w:line="0" w:lineRule="atLeast"/>
        <w:ind w:left="420" w:firstLine="640"/>
        <w:jc w:val="left"/>
        <w:rPr>
          <w:rFonts w:hint="eastAsia" w:ascii="仿宋" w:hAnsi="仿宋" w:eastAsia="仿宋" w:cs="仿宋"/>
          <w:sz w:val="32"/>
          <w:szCs w:val="32"/>
        </w:rPr>
      </w:pPr>
      <w:r>
        <w:rPr>
          <w:rFonts w:hint="eastAsia" w:ascii="仿宋" w:hAnsi="仿宋" w:eastAsia="仿宋" w:cs="仿宋"/>
          <w:sz w:val="32"/>
          <w:szCs w:val="32"/>
        </w:rPr>
        <w:t>财务管理是一门专业基础课程，要求学生在学完本课程后能够牢固地掌握课本的基本知识，并具有应用所学知识说明和处理实际问题的能力，据此本课程的考试着重基础知识考察和应用能力考查两个方面，包括识记、理解、应用三个层次。各层次的含义如下：</w:t>
      </w:r>
    </w:p>
    <w:p w14:paraId="5E7CF796">
      <w:pPr>
        <w:pStyle w:val="7"/>
        <w:spacing w:line="0" w:lineRule="atLeast"/>
        <w:ind w:left="420" w:firstLine="640"/>
        <w:jc w:val="left"/>
        <w:rPr>
          <w:rFonts w:hint="eastAsia" w:ascii="仿宋" w:hAnsi="仿宋" w:eastAsia="仿宋" w:cs="仿宋"/>
          <w:sz w:val="32"/>
          <w:szCs w:val="32"/>
        </w:rPr>
      </w:pPr>
      <w:r>
        <w:rPr>
          <w:rFonts w:hint="eastAsia" w:ascii="仿宋" w:hAnsi="仿宋" w:eastAsia="仿宋" w:cs="仿宋"/>
          <w:sz w:val="32"/>
          <w:szCs w:val="32"/>
        </w:rPr>
        <w:t>识记指学习后能够记住的内容，包括概念原则方法的含义，这是最低层次的要求。</w:t>
      </w:r>
    </w:p>
    <w:p w14:paraId="55022923">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理解是指在识记的基础上全面的把握基本的概念，基本原则，基本方法，并能表达基本内容和基本原理，能够分析和说明相关问题的区别与联系，这是较高层次的内容。</w:t>
      </w:r>
    </w:p>
    <w:p w14:paraId="79AEBA67">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应用是指能够应用学习过的知识分析计算和处理涉及一两个知识点或多个知识点的会计问题，包括简单应用和综合应用。</w:t>
      </w:r>
    </w:p>
    <w:p w14:paraId="0C6BA5EA">
      <w:pPr>
        <w:spacing w:line="0" w:lineRule="atLeast"/>
        <w:jc w:val="left"/>
        <w:rPr>
          <w:rFonts w:hint="eastAsia" w:ascii="黑体" w:hAnsi="黑体" w:eastAsia="黑体" w:cs="黑体"/>
          <w:sz w:val="32"/>
          <w:szCs w:val="32"/>
        </w:rPr>
      </w:pPr>
    </w:p>
    <w:p w14:paraId="6733952A">
      <w:pPr>
        <w:spacing w:line="0" w:lineRule="atLeast"/>
        <w:jc w:val="left"/>
        <w:rPr>
          <w:rFonts w:hint="eastAsia" w:ascii="仿宋" w:hAnsi="仿宋" w:eastAsia="仿宋" w:cs="仿宋"/>
          <w:sz w:val="32"/>
          <w:szCs w:val="32"/>
        </w:rPr>
      </w:pPr>
      <w:r>
        <w:rPr>
          <w:rFonts w:hint="eastAsia" w:ascii="黑体" w:hAnsi="黑体" w:eastAsia="黑体" w:cs="黑体"/>
          <w:sz w:val="32"/>
          <w:szCs w:val="32"/>
        </w:rPr>
        <w:t>三、考试范围与要求</w:t>
      </w:r>
    </w:p>
    <w:p w14:paraId="2CEA7A99">
      <w:pPr>
        <w:spacing w:line="400" w:lineRule="exact"/>
        <w:rPr>
          <w:rFonts w:hint="eastAsia" w:ascii="仿宋" w:hAnsi="仿宋" w:eastAsia="仿宋" w:cs="仿宋"/>
          <w:sz w:val="30"/>
          <w:szCs w:val="30"/>
        </w:rPr>
      </w:pPr>
      <w:r>
        <w:rPr>
          <w:rFonts w:hint="eastAsia" w:ascii="仿宋" w:hAnsi="仿宋" w:eastAsia="仿宋" w:cs="仿宋"/>
          <w:sz w:val="30"/>
          <w:szCs w:val="30"/>
        </w:rPr>
        <w:t> 第一章财务管理导论</w:t>
      </w:r>
    </w:p>
    <w:p w14:paraId="6BE1AD13">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识记：（1）财务管理的产生（一般）</w:t>
      </w:r>
    </w:p>
    <w:p w14:paraId="10B11159">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（2）财务管理的发展（一般）</w:t>
      </w:r>
    </w:p>
    <w:p w14:paraId="4B402F73">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理解：（1）财务管理的概念（重点）</w:t>
      </w:r>
    </w:p>
    <w:p w14:paraId="47C710E2">
      <w:pPr>
        <w:spacing w:line="400" w:lineRule="exact"/>
        <w:rPr>
          <w:rFonts w:hint="eastAsia" w:ascii="仿宋" w:hAnsi="仿宋" w:eastAsia="仿宋" w:cs="仿宋"/>
          <w:sz w:val="30"/>
          <w:szCs w:val="30"/>
        </w:rPr>
      </w:pPr>
      <w:r>
        <w:rPr>
          <w:rFonts w:hint="eastAsia" w:ascii="仿宋" w:hAnsi="仿宋" w:eastAsia="仿宋" w:cs="仿宋"/>
          <w:sz w:val="30"/>
          <w:szCs w:val="30"/>
        </w:rPr>
        <w:t>第二章财务管理的目标</w:t>
      </w:r>
    </w:p>
    <w:p w14:paraId="2AEB2B00">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识记：（1）财务管理体制（一般）</w:t>
      </w:r>
    </w:p>
    <w:p w14:paraId="7D62591E">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（2）财务管理组织（一般）</w:t>
      </w:r>
    </w:p>
    <w:p w14:paraId="31779C53">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理解：（1）财务管理职能（次重点）</w:t>
      </w:r>
    </w:p>
    <w:p w14:paraId="1EC43850">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（2）财务管理目标（重点）</w:t>
      </w:r>
    </w:p>
    <w:p w14:paraId="7EF92100">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（3）财务管理总目标代表性观点（重点）</w:t>
      </w:r>
    </w:p>
    <w:p w14:paraId="3FE83714">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（4）利益相关者的矛盾与协调（重点）</w:t>
      </w:r>
    </w:p>
    <w:p w14:paraId="40F0F94C">
      <w:pPr>
        <w:spacing w:line="400" w:lineRule="exact"/>
        <w:rPr>
          <w:rFonts w:hint="eastAsia" w:ascii="仿宋" w:hAnsi="仿宋" w:eastAsia="仿宋" w:cs="仿宋"/>
          <w:sz w:val="30"/>
          <w:szCs w:val="30"/>
        </w:rPr>
      </w:pPr>
      <w:r>
        <w:rPr>
          <w:rFonts w:hint="eastAsia" w:ascii="仿宋" w:hAnsi="仿宋" w:eastAsia="仿宋" w:cs="仿宋"/>
          <w:sz w:val="30"/>
          <w:szCs w:val="30"/>
        </w:rPr>
        <w:t>第三章财务管理原则</w:t>
      </w:r>
    </w:p>
    <w:p w14:paraId="0D021F64">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理解：（1）财务管理假设（重点）</w:t>
      </w:r>
    </w:p>
    <w:p w14:paraId="3EFD77B9">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（2）财务管理原则（重点）</w:t>
      </w:r>
    </w:p>
    <w:p w14:paraId="5528B13E">
      <w:pPr>
        <w:spacing w:line="400" w:lineRule="exact"/>
        <w:rPr>
          <w:rFonts w:hint="eastAsia" w:ascii="仿宋" w:hAnsi="仿宋" w:eastAsia="仿宋" w:cs="仿宋"/>
          <w:sz w:val="30"/>
          <w:szCs w:val="30"/>
        </w:rPr>
      </w:pPr>
      <w:r>
        <w:rPr>
          <w:rFonts w:hint="eastAsia" w:ascii="仿宋" w:hAnsi="仿宋" w:eastAsia="仿宋" w:cs="仿宋"/>
          <w:sz w:val="30"/>
          <w:szCs w:val="30"/>
        </w:rPr>
        <w:t>第四章财务管理环境</w:t>
      </w:r>
    </w:p>
    <w:p w14:paraId="61CD79D1">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识记：（1）财务管理环境描述（一般）</w:t>
      </w:r>
    </w:p>
    <w:p w14:paraId="5E0AE5A0">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理解：（1）财务管理宏观环境（次重点）</w:t>
      </w:r>
    </w:p>
    <w:p w14:paraId="47ADE74F">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（2）财务管理微观环境（次重点）</w:t>
      </w:r>
    </w:p>
    <w:p w14:paraId="603F5715">
      <w:pPr>
        <w:spacing w:line="400" w:lineRule="exact"/>
        <w:rPr>
          <w:rFonts w:hint="eastAsia" w:ascii="仿宋" w:hAnsi="仿宋" w:eastAsia="仿宋" w:cs="仿宋"/>
          <w:sz w:val="30"/>
          <w:szCs w:val="30"/>
        </w:rPr>
      </w:pPr>
      <w:r>
        <w:rPr>
          <w:rFonts w:hint="eastAsia" w:ascii="仿宋" w:hAnsi="仿宋" w:eastAsia="仿宋" w:cs="仿宋"/>
          <w:sz w:val="30"/>
          <w:szCs w:val="30"/>
        </w:rPr>
        <w:t>第五章 货币的时间价值</w:t>
      </w:r>
    </w:p>
    <w:p w14:paraId="381D1C99">
      <w:pPr>
        <w:spacing w:line="400" w:lineRule="exact"/>
        <w:rPr>
          <w:rFonts w:hint="eastAsia" w:ascii="仿宋" w:hAnsi="仿宋" w:eastAsia="仿宋" w:cs="仿宋"/>
          <w:sz w:val="30"/>
          <w:szCs w:val="30"/>
        </w:rPr>
      </w:pPr>
      <w:r>
        <w:rPr>
          <w:rFonts w:hint="eastAsia" w:ascii="仿宋" w:hAnsi="仿宋" w:eastAsia="仿宋" w:cs="仿宋"/>
          <w:sz w:val="30"/>
          <w:szCs w:val="30"/>
        </w:rPr>
        <w:t>理解：（1）货币时间价值概述（重点）</w:t>
      </w:r>
    </w:p>
    <w:p w14:paraId="436B782F">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（2）终值的概念（重点）</w:t>
      </w:r>
    </w:p>
    <w:p w14:paraId="74214B08">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（3）现值的概念（重点）</w:t>
      </w:r>
    </w:p>
    <w:p w14:paraId="3AF20027">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（4）年金的概念和种类（重点）</w:t>
      </w:r>
    </w:p>
    <w:p w14:paraId="45819F98">
      <w:pPr>
        <w:spacing w:line="400" w:lineRule="exact"/>
        <w:rPr>
          <w:rFonts w:hint="eastAsia" w:ascii="仿宋" w:hAnsi="仿宋" w:eastAsia="仿宋" w:cs="仿宋"/>
          <w:sz w:val="30"/>
          <w:szCs w:val="30"/>
        </w:rPr>
      </w:pPr>
      <w:r>
        <w:rPr>
          <w:rFonts w:hint="eastAsia" w:ascii="仿宋" w:hAnsi="仿宋" w:eastAsia="仿宋" w:cs="仿宋"/>
          <w:sz w:val="30"/>
          <w:szCs w:val="30"/>
        </w:rPr>
        <w:t>应用：（1）复利终值的计算（重点）</w:t>
      </w:r>
    </w:p>
    <w:p w14:paraId="22032EFB">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（2）复利现值的计算（重点）</w:t>
      </w:r>
    </w:p>
    <w:p w14:paraId="4F4EA0CA">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（3）普通年金和先付年金终值与现值的计算（重点）</w:t>
      </w:r>
    </w:p>
    <w:p w14:paraId="014EE946">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（4）货币时间价值计算中的特殊问题（次重点）</w:t>
      </w:r>
    </w:p>
    <w:p w14:paraId="439A1524">
      <w:pPr>
        <w:spacing w:line="400" w:lineRule="exact"/>
        <w:rPr>
          <w:rFonts w:hint="eastAsia" w:ascii="仿宋" w:hAnsi="仿宋" w:eastAsia="仿宋" w:cs="仿宋"/>
          <w:sz w:val="30"/>
          <w:szCs w:val="30"/>
        </w:rPr>
      </w:pPr>
      <w:r>
        <w:rPr>
          <w:rFonts w:hint="eastAsia" w:ascii="仿宋" w:hAnsi="仿宋" w:eastAsia="仿宋" w:cs="仿宋"/>
          <w:sz w:val="30"/>
          <w:szCs w:val="30"/>
        </w:rPr>
        <w:t>第六章货币时间价值的拓展</w:t>
      </w:r>
      <w:r>
        <w:rPr>
          <w:rFonts w:hint="eastAsia" w:ascii="仿宋" w:hAnsi="仿宋" w:eastAsia="仿宋" w:cs="仿宋"/>
          <w:sz w:val="30"/>
          <w:szCs w:val="30"/>
        </w:rPr>
        <w:br w:type="textWrapping"/>
      </w:r>
      <w:r>
        <w:rPr>
          <w:rFonts w:hint="eastAsia" w:ascii="仿宋" w:hAnsi="仿宋" w:eastAsia="仿宋" w:cs="仿宋"/>
          <w:sz w:val="30"/>
          <w:szCs w:val="30"/>
        </w:rPr>
        <w:t>理解：（1）资金成本（一般）</w:t>
      </w:r>
    </w:p>
    <w:p w14:paraId="4FDFB20E">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（2）证券价值评估（一般）</w:t>
      </w:r>
    </w:p>
    <w:p w14:paraId="215749F5">
      <w:pPr>
        <w:spacing w:line="400" w:lineRule="exact"/>
        <w:rPr>
          <w:rFonts w:hint="eastAsia" w:ascii="仿宋" w:hAnsi="仿宋" w:eastAsia="仿宋" w:cs="仿宋"/>
          <w:sz w:val="30"/>
          <w:szCs w:val="30"/>
        </w:rPr>
      </w:pPr>
      <w:r>
        <w:rPr>
          <w:rFonts w:hint="eastAsia" w:ascii="仿宋" w:hAnsi="仿宋" w:eastAsia="仿宋" w:cs="仿宋"/>
          <w:sz w:val="30"/>
          <w:szCs w:val="30"/>
        </w:rPr>
        <w:t>第七章风险与报酬</w:t>
      </w:r>
    </w:p>
    <w:p w14:paraId="3FB2CFFF">
      <w:pPr>
        <w:spacing w:line="400" w:lineRule="exact"/>
        <w:rPr>
          <w:rFonts w:hint="eastAsia" w:ascii="仿宋" w:hAnsi="仿宋" w:eastAsia="仿宋" w:cs="仿宋"/>
          <w:sz w:val="30"/>
          <w:szCs w:val="30"/>
        </w:rPr>
      </w:pPr>
      <w:r>
        <w:rPr>
          <w:rFonts w:hint="eastAsia" w:ascii="仿宋" w:hAnsi="仿宋" w:eastAsia="仿宋" w:cs="仿宋"/>
          <w:sz w:val="30"/>
          <w:szCs w:val="30"/>
        </w:rPr>
        <w:t>识记：（1）风险报酬的概念（重点）</w:t>
      </w:r>
    </w:p>
    <w:p w14:paraId="280FEB29">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（2）风险的分类（重点）</w:t>
      </w:r>
    </w:p>
    <w:p w14:paraId="785E9DDA">
      <w:pPr>
        <w:spacing w:line="400" w:lineRule="exact"/>
        <w:rPr>
          <w:rFonts w:hint="eastAsia" w:ascii="仿宋" w:hAnsi="仿宋" w:eastAsia="仿宋" w:cs="仿宋"/>
          <w:sz w:val="30"/>
          <w:szCs w:val="30"/>
        </w:rPr>
      </w:pPr>
      <w:r>
        <w:rPr>
          <w:rFonts w:hint="eastAsia" w:ascii="仿宋" w:hAnsi="仿宋" w:eastAsia="仿宋" w:cs="仿宋"/>
          <w:sz w:val="30"/>
          <w:szCs w:val="30"/>
        </w:rPr>
        <w:t>理解：（1）投资组合风险程度衡量（重点）</w:t>
      </w:r>
    </w:p>
    <w:p w14:paraId="280AB535">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（2）资产定价模型（次重点）</w:t>
      </w:r>
    </w:p>
    <w:p w14:paraId="544508CA">
      <w:pPr>
        <w:spacing w:line="400" w:lineRule="exact"/>
        <w:rPr>
          <w:rFonts w:hint="eastAsia" w:ascii="仿宋" w:hAnsi="仿宋" w:eastAsia="仿宋" w:cs="仿宋"/>
          <w:sz w:val="30"/>
          <w:szCs w:val="30"/>
        </w:rPr>
      </w:pPr>
      <w:r>
        <w:rPr>
          <w:rFonts w:hint="eastAsia" w:ascii="仿宋" w:hAnsi="仿宋" w:eastAsia="仿宋" w:cs="仿宋"/>
          <w:sz w:val="30"/>
          <w:szCs w:val="30"/>
        </w:rPr>
        <w:t>第八章企业筹资管理</w:t>
      </w:r>
    </w:p>
    <w:p w14:paraId="4678B5B4">
      <w:pPr>
        <w:spacing w:line="400" w:lineRule="exact"/>
        <w:rPr>
          <w:rFonts w:hint="eastAsia" w:ascii="仿宋" w:hAnsi="仿宋" w:eastAsia="仿宋" w:cs="仿宋"/>
          <w:sz w:val="30"/>
          <w:szCs w:val="30"/>
        </w:rPr>
      </w:pPr>
      <w:r>
        <w:rPr>
          <w:rFonts w:hint="eastAsia" w:ascii="仿宋" w:hAnsi="仿宋" w:eastAsia="仿宋" w:cs="仿宋"/>
          <w:sz w:val="30"/>
          <w:szCs w:val="30"/>
        </w:rPr>
        <w:t>识记：（1）企业筹资含义与种类（重点）</w:t>
      </w:r>
    </w:p>
    <w:p w14:paraId="39622E82">
      <w:pPr>
        <w:spacing w:line="400" w:lineRule="exact"/>
        <w:rPr>
          <w:rFonts w:hint="eastAsia" w:ascii="仿宋" w:hAnsi="仿宋" w:eastAsia="仿宋" w:cs="仿宋"/>
          <w:sz w:val="30"/>
          <w:szCs w:val="30"/>
        </w:rPr>
      </w:pPr>
      <w:r>
        <w:rPr>
          <w:rFonts w:hint="eastAsia" w:ascii="仿宋" w:hAnsi="仿宋" w:eastAsia="仿宋" w:cs="仿宋"/>
          <w:sz w:val="30"/>
          <w:szCs w:val="30"/>
        </w:rPr>
        <w:t>理解：（1）股权性筹资的定义与种类（重点）</w:t>
      </w:r>
    </w:p>
    <w:p w14:paraId="4AF1747C">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（2）股权性筹资的优点与缺点（重点）</w:t>
      </w:r>
    </w:p>
    <w:p w14:paraId="6EC49F85">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（3）债务性筹资的定义与种类（重点）</w:t>
      </w:r>
    </w:p>
    <w:p w14:paraId="5DCF82EE">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（4）债务性筹资的优点与缺点（重点）</w:t>
      </w:r>
    </w:p>
    <w:p w14:paraId="2CF1C919">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（5）资本结构（一般）</w:t>
      </w:r>
    </w:p>
    <w:p w14:paraId="541FDF0E">
      <w:pPr>
        <w:spacing w:line="400" w:lineRule="exact"/>
        <w:rPr>
          <w:rFonts w:hint="eastAsia" w:ascii="仿宋" w:hAnsi="仿宋" w:eastAsia="仿宋" w:cs="仿宋"/>
          <w:sz w:val="30"/>
          <w:szCs w:val="30"/>
        </w:rPr>
      </w:pPr>
      <w:r>
        <w:rPr>
          <w:rFonts w:hint="eastAsia" w:ascii="仿宋" w:hAnsi="仿宋" w:eastAsia="仿宋" w:cs="仿宋"/>
          <w:sz w:val="30"/>
          <w:szCs w:val="30"/>
        </w:rPr>
        <w:t>第九章企业投资管理</w:t>
      </w:r>
    </w:p>
    <w:p w14:paraId="18D4CF47">
      <w:pPr>
        <w:spacing w:line="400" w:lineRule="exact"/>
        <w:rPr>
          <w:rFonts w:hint="eastAsia" w:ascii="仿宋" w:hAnsi="仿宋" w:eastAsia="仿宋" w:cs="仿宋"/>
          <w:sz w:val="30"/>
          <w:szCs w:val="30"/>
        </w:rPr>
      </w:pPr>
      <w:r>
        <w:rPr>
          <w:rFonts w:hint="eastAsia" w:ascii="仿宋" w:hAnsi="仿宋" w:eastAsia="仿宋" w:cs="仿宋"/>
          <w:sz w:val="30"/>
          <w:szCs w:val="30"/>
        </w:rPr>
        <w:t>识记：（1）企业投资含义与分类（重点）</w:t>
      </w:r>
    </w:p>
    <w:p w14:paraId="2CCA0D1A">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（2）投资的意义与目的（一般）</w:t>
      </w:r>
    </w:p>
    <w:p w14:paraId="32804A99">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（3）投资管理内容（一般）</w:t>
      </w:r>
    </w:p>
    <w:p w14:paraId="20C7B462">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（4）项目投资含义与种类（一般）</w:t>
      </w:r>
    </w:p>
    <w:p w14:paraId="11F863C4">
      <w:pPr>
        <w:spacing w:line="400" w:lineRule="exact"/>
        <w:rPr>
          <w:rFonts w:hint="eastAsia" w:ascii="仿宋" w:hAnsi="仿宋" w:eastAsia="仿宋" w:cs="仿宋"/>
          <w:sz w:val="30"/>
          <w:szCs w:val="30"/>
        </w:rPr>
      </w:pPr>
      <w:r>
        <w:rPr>
          <w:rFonts w:hint="eastAsia" w:ascii="仿宋" w:hAnsi="仿宋" w:eastAsia="仿宋" w:cs="仿宋"/>
          <w:sz w:val="30"/>
          <w:szCs w:val="30"/>
        </w:rPr>
        <w:t>理解：（1）企业投资的决策依据（重点）</w:t>
      </w:r>
    </w:p>
    <w:p w14:paraId="649B7D2D">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（2）项目决策评价指标（重点）</w:t>
      </w:r>
    </w:p>
    <w:p w14:paraId="2F57A30A">
      <w:pPr>
        <w:spacing w:line="400" w:lineRule="exact"/>
        <w:rPr>
          <w:rFonts w:hint="eastAsia" w:ascii="仿宋" w:hAnsi="仿宋" w:eastAsia="仿宋" w:cs="仿宋"/>
          <w:sz w:val="30"/>
          <w:szCs w:val="30"/>
        </w:rPr>
      </w:pPr>
      <w:r>
        <w:rPr>
          <w:rFonts w:hint="eastAsia" w:ascii="仿宋" w:hAnsi="仿宋" w:eastAsia="仿宋" w:cs="仿宋"/>
          <w:sz w:val="30"/>
          <w:szCs w:val="30"/>
        </w:rPr>
        <w:t>应用：（1）项目投资的现金流量分析（次重点）</w:t>
      </w:r>
    </w:p>
    <w:p w14:paraId="4D8A1CD9">
      <w:pPr>
        <w:spacing w:line="400" w:lineRule="exact"/>
        <w:rPr>
          <w:rFonts w:hint="eastAsia" w:ascii="仿宋" w:hAnsi="仿宋" w:eastAsia="仿宋" w:cs="仿宋"/>
          <w:sz w:val="30"/>
          <w:szCs w:val="30"/>
        </w:rPr>
      </w:pPr>
      <w:r>
        <w:rPr>
          <w:rFonts w:hint="eastAsia" w:ascii="仿宋" w:hAnsi="仿宋" w:eastAsia="仿宋" w:cs="仿宋"/>
          <w:sz w:val="30"/>
          <w:szCs w:val="30"/>
        </w:rPr>
        <w:t>第十章资金营运与分配管理</w:t>
      </w:r>
    </w:p>
    <w:p w14:paraId="7C1A45FB">
      <w:pPr>
        <w:spacing w:line="400" w:lineRule="exact"/>
        <w:rPr>
          <w:rFonts w:hint="eastAsia" w:ascii="仿宋" w:hAnsi="仿宋" w:eastAsia="仿宋" w:cs="仿宋"/>
          <w:sz w:val="30"/>
          <w:szCs w:val="30"/>
        </w:rPr>
      </w:pPr>
      <w:r>
        <w:rPr>
          <w:rFonts w:hint="eastAsia" w:ascii="仿宋" w:hAnsi="仿宋" w:eastAsia="仿宋" w:cs="仿宋"/>
          <w:sz w:val="30"/>
          <w:szCs w:val="30"/>
        </w:rPr>
        <w:t>识记：（1）营运资金含义（一般）</w:t>
      </w:r>
    </w:p>
    <w:p w14:paraId="234191A3">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（2）营运资金特征（一般）</w:t>
      </w:r>
    </w:p>
    <w:p w14:paraId="2498DB5C">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（3）流动资产概念与构成（一般）</w:t>
      </w:r>
    </w:p>
    <w:p w14:paraId="6B275CC0">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（4）流动负债概念与构成（一般）</w:t>
      </w:r>
    </w:p>
    <w:p w14:paraId="7C763F74">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（5）资金分配管理含义（一般）</w:t>
      </w:r>
    </w:p>
    <w:p w14:paraId="69EB57F0">
      <w:pPr>
        <w:spacing w:line="400" w:lineRule="exact"/>
        <w:ind w:firstLine="900" w:firstLineChars="300"/>
        <w:rPr>
          <w:rFonts w:hint="eastAsia" w:ascii="仿宋" w:hAnsi="仿宋" w:eastAsia="仿宋" w:cs="仿宋"/>
          <w:sz w:val="30"/>
          <w:szCs w:val="30"/>
        </w:rPr>
      </w:pPr>
    </w:p>
    <w:p w14:paraId="3BEFCC42">
      <w:pPr>
        <w:spacing w:line="400" w:lineRule="exact"/>
        <w:rPr>
          <w:rFonts w:hint="eastAsia" w:ascii="仿宋" w:hAnsi="仿宋" w:eastAsia="仿宋" w:cs="仿宋"/>
          <w:sz w:val="30"/>
          <w:szCs w:val="30"/>
        </w:rPr>
      </w:pPr>
      <w:r>
        <w:rPr>
          <w:rFonts w:hint="eastAsia" w:ascii="仿宋" w:hAnsi="仿宋" w:eastAsia="仿宋" w:cs="仿宋"/>
          <w:sz w:val="30"/>
          <w:szCs w:val="30"/>
        </w:rPr>
        <w:t>理解：（1）营运资金投资模式（一般）</w:t>
      </w:r>
    </w:p>
    <w:p w14:paraId="4DB79BD1">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（2）营运资金筹资模式（一般）</w:t>
      </w:r>
    </w:p>
    <w:p w14:paraId="5E23FC55">
      <w:pPr>
        <w:spacing w:line="0" w:lineRule="atLeast"/>
        <w:jc w:val="left"/>
        <w:rPr>
          <w:rFonts w:hint="eastAsia" w:ascii="黑体" w:hAnsi="黑体" w:eastAsia="黑体" w:cs="黑体"/>
          <w:sz w:val="32"/>
          <w:szCs w:val="32"/>
        </w:rPr>
      </w:pPr>
    </w:p>
    <w:p w14:paraId="35CB355F">
      <w:p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rPr>
        <w:t>四、考试教材与参考书</w:t>
      </w:r>
    </w:p>
    <w:p w14:paraId="6034CCDF">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1．教材：</w:t>
      </w:r>
    </w:p>
    <w:p w14:paraId="7A41AAB7">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杨尚军主编.《初级财务管理》（第一版）.中国财政经济出版社.2018年第一版</w:t>
      </w:r>
    </w:p>
    <w:p w14:paraId="22EDB63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2．参考书：</w:t>
      </w:r>
    </w:p>
    <w:p w14:paraId="59F5ED40">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（1）王飞等.《现代财务管理》.河海大学出版社.2016</w:t>
      </w:r>
    </w:p>
    <w:p w14:paraId="431F1C8E">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（2）沈洪涛等主编《初级财务管理》.东北财经大学出版社出版（第3版）.2016</w:t>
      </w:r>
    </w:p>
    <w:p w14:paraId="4579C99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（3）孙茂竹等主编《初级财务管理学》.中国人民大学出版社出版</w:t>
      </w:r>
      <w:r>
        <w:rPr>
          <w:rFonts w:hint="eastAsia" w:ascii="仿宋" w:hAnsi="仿宋" w:eastAsia="仿宋" w:cs="仿宋"/>
          <w:sz w:val="28"/>
          <w:szCs w:val="28"/>
          <w:lang w:val="en-US" w:eastAsia="zh-CN"/>
        </w:rPr>
        <w:t>.</w:t>
      </w:r>
      <w:r>
        <w:rPr>
          <w:rFonts w:hint="eastAsia" w:ascii="仿宋" w:hAnsi="仿宋" w:eastAsia="仿宋" w:cs="仿宋"/>
          <w:sz w:val="28"/>
          <w:szCs w:val="28"/>
        </w:rPr>
        <w:t>2016</w:t>
      </w:r>
    </w:p>
    <w:p w14:paraId="38A79E3E">
      <w:pPr>
        <w:spacing w:line="400" w:lineRule="exact"/>
        <w:rPr>
          <w:rFonts w:hint="eastAsia" w:ascii="仿宋" w:hAnsi="仿宋" w:eastAsia="仿宋" w:cs="仿宋"/>
          <w:sz w:val="28"/>
          <w:szCs w:val="28"/>
        </w:rPr>
      </w:pPr>
    </w:p>
    <w:p w14:paraId="7DB3BF9A">
      <w:pPr>
        <w:spacing w:line="0" w:lineRule="atLeast"/>
        <w:jc w:val="left"/>
        <w:rPr>
          <w:rFonts w:hint="eastAsia" w:ascii="仿宋" w:hAnsi="仿宋" w:eastAsia="仿宋" w:cs="仿宋"/>
          <w:sz w:val="30"/>
          <w:szCs w:val="30"/>
        </w:rPr>
      </w:pPr>
    </w:p>
    <w:p w14:paraId="03A6D3AD">
      <w:pPr>
        <w:spacing w:line="0" w:lineRule="atLeast"/>
        <w:jc w:val="left"/>
        <w:rPr>
          <w:rFonts w:hint="eastAsia" w:ascii="仿宋" w:hAnsi="仿宋" w:eastAsia="仿宋" w:cs="仿宋"/>
          <w:sz w:val="30"/>
          <w:szCs w:val="30"/>
        </w:rPr>
      </w:pPr>
    </w:p>
    <w:p w14:paraId="0966BCD7">
      <w:pPr>
        <w:spacing w:line="0" w:lineRule="atLeast"/>
        <w:jc w:val="left"/>
        <w:rPr>
          <w:rFonts w:hint="eastAsia" w:ascii="仿宋" w:hAnsi="仿宋" w:eastAsia="仿宋" w:cs="仿宋"/>
          <w:sz w:val="30"/>
          <w:szCs w:val="30"/>
        </w:rPr>
      </w:pPr>
    </w:p>
    <w:p w14:paraId="672EB303">
      <w:pPr>
        <w:spacing w:line="0" w:lineRule="atLeast"/>
        <w:jc w:val="left"/>
        <w:rPr>
          <w:rFonts w:hint="eastAsia" w:ascii="仿宋" w:hAnsi="仿宋" w:eastAsia="仿宋" w:cs="仿宋"/>
          <w:sz w:val="30"/>
          <w:szCs w:val="30"/>
        </w:rPr>
      </w:pPr>
    </w:p>
    <w:p w14:paraId="49D7A8F2">
      <w:pPr>
        <w:spacing w:line="0" w:lineRule="atLeast"/>
        <w:jc w:val="left"/>
        <w:rPr>
          <w:rFonts w:hint="eastAsia" w:ascii="仿宋" w:hAnsi="仿宋" w:eastAsia="仿宋" w:cs="仿宋"/>
          <w:sz w:val="30"/>
          <w:szCs w:val="30"/>
        </w:rPr>
      </w:pPr>
    </w:p>
    <w:p w14:paraId="63CB6E31">
      <w:pPr>
        <w:spacing w:line="0" w:lineRule="atLeast"/>
        <w:jc w:val="left"/>
        <w:rPr>
          <w:rFonts w:hint="eastAsia" w:ascii="仿宋" w:hAnsi="仿宋" w:eastAsia="仿宋" w:cs="仿宋"/>
          <w:sz w:val="30"/>
          <w:szCs w:val="30"/>
        </w:rPr>
      </w:pPr>
    </w:p>
    <w:p w14:paraId="05675E50">
      <w:pPr>
        <w:spacing w:line="0" w:lineRule="atLeast"/>
        <w:jc w:val="left"/>
        <w:rPr>
          <w:rFonts w:hint="eastAsia" w:ascii="仿宋" w:hAnsi="仿宋" w:eastAsia="仿宋" w:cs="仿宋"/>
          <w:sz w:val="30"/>
          <w:szCs w:val="30"/>
        </w:rPr>
      </w:pPr>
    </w:p>
    <w:p w14:paraId="7DDBD598">
      <w:pPr>
        <w:spacing w:line="0" w:lineRule="atLeast"/>
        <w:jc w:val="left"/>
        <w:rPr>
          <w:rFonts w:hint="eastAsia" w:ascii="仿宋" w:hAnsi="仿宋" w:eastAsia="仿宋" w:cs="仿宋"/>
          <w:sz w:val="30"/>
          <w:szCs w:val="30"/>
        </w:rPr>
      </w:pPr>
    </w:p>
    <w:p w14:paraId="556A0772">
      <w:pPr>
        <w:spacing w:line="0" w:lineRule="atLeast"/>
        <w:jc w:val="left"/>
        <w:rPr>
          <w:rFonts w:hint="eastAsia" w:ascii="仿宋" w:hAnsi="仿宋" w:eastAsia="仿宋" w:cs="仿宋"/>
          <w:sz w:val="30"/>
          <w:szCs w:val="30"/>
        </w:rPr>
      </w:pPr>
    </w:p>
    <w:p w14:paraId="2920F217">
      <w:pPr>
        <w:spacing w:line="0" w:lineRule="atLeast"/>
        <w:jc w:val="left"/>
        <w:rPr>
          <w:rFonts w:hint="eastAsia" w:ascii="仿宋" w:hAnsi="仿宋" w:eastAsia="仿宋" w:cs="仿宋"/>
          <w:sz w:val="30"/>
          <w:szCs w:val="30"/>
        </w:rPr>
      </w:pPr>
    </w:p>
    <w:p w14:paraId="273B3644">
      <w:pPr>
        <w:spacing w:line="0" w:lineRule="atLeast"/>
        <w:jc w:val="left"/>
        <w:rPr>
          <w:rFonts w:hint="eastAsia" w:ascii="仿宋" w:hAnsi="仿宋" w:eastAsia="仿宋" w:cs="仿宋"/>
          <w:sz w:val="30"/>
          <w:szCs w:val="30"/>
        </w:rPr>
      </w:pPr>
    </w:p>
    <w:p w14:paraId="1F9ADC1C">
      <w:pPr>
        <w:spacing w:line="0" w:lineRule="atLeast"/>
        <w:jc w:val="left"/>
        <w:rPr>
          <w:rFonts w:hint="eastAsia" w:ascii="仿宋" w:hAnsi="仿宋" w:eastAsia="仿宋" w:cs="仿宋"/>
          <w:sz w:val="30"/>
          <w:szCs w:val="30"/>
        </w:rPr>
      </w:pPr>
    </w:p>
    <w:p w14:paraId="5FDFDB6D">
      <w:pPr>
        <w:spacing w:line="0" w:lineRule="atLeast"/>
        <w:jc w:val="left"/>
        <w:rPr>
          <w:rFonts w:hint="eastAsia" w:ascii="仿宋" w:hAnsi="仿宋" w:eastAsia="仿宋" w:cs="仿宋"/>
          <w:sz w:val="30"/>
          <w:szCs w:val="30"/>
        </w:rPr>
      </w:pPr>
    </w:p>
    <w:p w14:paraId="68C49202">
      <w:pPr>
        <w:spacing w:line="0" w:lineRule="atLeast"/>
        <w:jc w:val="left"/>
        <w:rPr>
          <w:rFonts w:hint="eastAsia" w:ascii="仿宋" w:hAnsi="仿宋" w:eastAsia="仿宋" w:cs="仿宋"/>
          <w:sz w:val="30"/>
          <w:szCs w:val="30"/>
        </w:rPr>
      </w:pPr>
    </w:p>
    <w:p w14:paraId="2C10DE3B">
      <w:pPr>
        <w:spacing w:line="0" w:lineRule="atLeast"/>
        <w:jc w:val="left"/>
        <w:rPr>
          <w:rFonts w:hint="eastAsia" w:ascii="仿宋" w:hAnsi="仿宋" w:eastAsia="仿宋" w:cs="仿宋"/>
          <w:sz w:val="30"/>
          <w:szCs w:val="30"/>
        </w:rPr>
      </w:pPr>
    </w:p>
    <w:p w14:paraId="1D170284">
      <w:pPr>
        <w:spacing w:line="0" w:lineRule="atLeast"/>
        <w:jc w:val="left"/>
        <w:rPr>
          <w:rFonts w:hint="eastAsia" w:ascii="仿宋" w:hAnsi="仿宋" w:eastAsia="仿宋" w:cs="仿宋"/>
          <w:sz w:val="30"/>
          <w:szCs w:val="30"/>
        </w:rPr>
      </w:pPr>
    </w:p>
    <w:p w14:paraId="09D40122">
      <w:pPr>
        <w:spacing w:line="0" w:lineRule="atLeast"/>
        <w:jc w:val="left"/>
        <w:rPr>
          <w:rFonts w:hint="eastAsia" w:ascii="仿宋" w:hAnsi="仿宋" w:eastAsia="仿宋" w:cs="仿宋"/>
          <w:sz w:val="30"/>
          <w:szCs w:val="30"/>
        </w:rPr>
      </w:pPr>
    </w:p>
    <w:p w14:paraId="31E39BDE">
      <w:pPr>
        <w:spacing w:line="0" w:lineRule="atLeast"/>
        <w:jc w:val="left"/>
        <w:rPr>
          <w:rFonts w:hint="eastAsia" w:ascii="仿宋" w:hAnsi="仿宋" w:eastAsia="仿宋" w:cs="仿宋"/>
          <w:sz w:val="30"/>
          <w:szCs w:val="30"/>
        </w:rPr>
      </w:pPr>
    </w:p>
    <w:p w14:paraId="18E0AF1C">
      <w:pPr>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320C19"/>
    <w:rsid w:val="00566276"/>
    <w:rsid w:val="005D5D72"/>
    <w:rsid w:val="006300BB"/>
    <w:rsid w:val="00770510"/>
    <w:rsid w:val="007C29E1"/>
    <w:rsid w:val="0086261D"/>
    <w:rsid w:val="009C096A"/>
    <w:rsid w:val="00BE6A5E"/>
    <w:rsid w:val="00C80107"/>
    <w:rsid w:val="00DC78F1"/>
    <w:rsid w:val="00E67FAF"/>
    <w:rsid w:val="0A0B0691"/>
    <w:rsid w:val="172014BC"/>
    <w:rsid w:val="1B666506"/>
    <w:rsid w:val="1FEF447A"/>
    <w:rsid w:val="26065BC0"/>
    <w:rsid w:val="2E62460A"/>
    <w:rsid w:val="3565070D"/>
    <w:rsid w:val="396C4E72"/>
    <w:rsid w:val="3F124AC9"/>
    <w:rsid w:val="40CE5CD7"/>
    <w:rsid w:val="5BB05578"/>
    <w:rsid w:val="60A32504"/>
    <w:rsid w:val="63631195"/>
    <w:rsid w:val="6B796B16"/>
    <w:rsid w:val="724802EB"/>
    <w:rsid w:val="7265370D"/>
    <w:rsid w:val="739179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unhideWhenUsed/>
    <w:qFormat/>
    <w:uiPriority w:val="99"/>
    <w:pPr>
      <w:ind w:firstLine="420" w:firstLineChars="200"/>
    </w:pPr>
  </w:style>
  <w:style w:type="character" w:customStyle="1" w:styleId="8">
    <w:name w:val="页脚 Char"/>
    <w:basedOn w:val="6"/>
    <w:link w:val="2"/>
    <w:qFormat/>
    <w:uiPriority w:val="0"/>
    <w:rPr>
      <w:rFonts w:ascii="Calibri" w:hAnsi="Calibri"/>
      <w:kern w:val="2"/>
      <w:sz w:val="18"/>
      <w:szCs w:val="18"/>
    </w:rPr>
  </w:style>
  <w:style w:type="character" w:customStyle="1" w:styleId="9">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1819</Words>
  <Characters>1843</Characters>
  <Lines>13</Lines>
  <Paragraphs>3</Paragraphs>
  <TotalTime>1</TotalTime>
  <ScaleCrop>false</ScaleCrop>
  <LinksUpToDate>false</LinksUpToDate>
  <CharactersWithSpaces>1845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2020-04-15T05:26:00Z</dcterms:created>
  <dc:creator>立秋</dc:creator>
  <cp:lastModifiedBy>玖月</cp:lastModifiedBy>
  <dcterms:modified xsi:type="dcterms:W3CDTF">2026-01-14T02:20:02Z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467FFB121D9D47609FC9A30441A58434_12</vt:lpwstr>
  </property>
</Properties>
</file>